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562A5E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BF78A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11</w:t>
            </w:r>
            <w:r w:rsidR="00562A5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62A5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Juli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562A5E">
              <w:rPr>
                <w:rFonts w:ascii="Bookman Old Style" w:hAnsi="Bookman Old Style"/>
                <w:sz w:val="24"/>
                <w:szCs w:val="24"/>
                <w:lang w:val="en-US"/>
              </w:rPr>
              <w:t>386</w:t>
            </w:r>
            <w:r w:rsidR="00FD27AC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F07E02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562A5E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562A5E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562A5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ke-8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562A5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delapan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Dawung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562A5E">
        <w:rPr>
          <w:rFonts w:ascii="Bookman Old Style" w:hAnsi="Bookman Old Style" w:cs="Arial"/>
          <w:sz w:val="24"/>
          <w:szCs w:val="24"/>
        </w:rPr>
        <w:t>8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562A5E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562A5E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E16EC">
        <w:rPr>
          <w:rFonts w:ascii="Bookman Old Style" w:hAnsi="Bookman Old Style" w:cs="Arial"/>
          <w:sz w:val="24"/>
          <w:szCs w:val="24"/>
        </w:rPr>
        <w:t>Dawung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C6F8E">
        <w:rPr>
          <w:rFonts w:ascii="Bookman Old Style" w:hAnsi="Bookman Old Style" w:cs="Arial"/>
          <w:sz w:val="24"/>
          <w:szCs w:val="24"/>
        </w:rPr>
        <w:t xml:space="preserve"> 39.517.000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9C6F8E">
        <w:rPr>
          <w:rFonts w:ascii="Bookman Old Style" w:hAnsi="Bookman Old Style" w:cs="Arial"/>
          <w:sz w:val="24"/>
          <w:szCs w:val="24"/>
        </w:rPr>
        <w:t>lima</w:t>
      </w:r>
      <w:proofErr w:type="gram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rupiah</w:t>
      </w:r>
      <w:r w:rsidR="009C6F8E">
        <w:rPr>
          <w:rFonts w:ascii="Bookman Old Style" w:hAnsi="Bookman Old Style" w:cs="Arial"/>
          <w:sz w:val="24"/>
          <w:szCs w:val="24"/>
          <w:lang w:val="id-ID"/>
        </w:rPr>
        <w:t>)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A9914A" wp14:editId="0637B242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1BE3072" wp14:editId="18554E2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562A5E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562A5E">
        <w:rPr>
          <w:rFonts w:ascii="Bookman Old Style" w:hAnsi="Bookman Old Style" w:cs="Arial"/>
          <w:bCs/>
          <w:sz w:val="24"/>
          <w:szCs w:val="24"/>
        </w:rPr>
        <w:t xml:space="preserve">DELAPAN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562A5E">
        <w:rPr>
          <w:rFonts w:ascii="Bookman Old Style" w:hAnsi="Bookman Old Style" w:cs="Arial"/>
          <w:sz w:val="24"/>
          <w:szCs w:val="24"/>
        </w:rPr>
        <w:t>387</w:t>
      </w:r>
      <w:r w:rsidR="00FD27AC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562A5E">
        <w:rPr>
          <w:rFonts w:ascii="Bookman Old Style" w:hAnsi="Bookman Old Style" w:cs="Arial"/>
          <w:sz w:val="24"/>
          <w:szCs w:val="24"/>
        </w:rPr>
        <w:t>I</w:t>
      </w:r>
      <w:r w:rsidR="00F07E02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78A6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562A5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78A6">
        <w:rPr>
          <w:rFonts w:ascii="Bookman Old Style" w:hAnsi="Bookman Old Style" w:cs="Arial"/>
          <w:sz w:val="24"/>
          <w:szCs w:val="24"/>
        </w:rPr>
        <w:t>se</w:t>
      </w:r>
      <w:r w:rsidR="00FD27AC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5E">
        <w:rPr>
          <w:rFonts w:ascii="Bookman Old Style" w:hAnsi="Bookman Old Style" w:cs="Arial"/>
          <w:sz w:val="24"/>
          <w:szCs w:val="24"/>
        </w:rPr>
        <w:t>Jul</w:t>
      </w:r>
      <w:r w:rsidR="00F07E02">
        <w:rPr>
          <w:rFonts w:ascii="Bookman Old Style" w:hAnsi="Bookman Old Style" w:cs="Arial"/>
          <w:sz w:val="24"/>
          <w:szCs w:val="24"/>
        </w:rPr>
        <w:t>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562A5E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Dawung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FE1A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E1A6A">
        <w:rPr>
          <w:rFonts w:ascii="Bookman Old Style" w:hAnsi="Bookman Old Style" w:cs="Arial"/>
          <w:sz w:val="24"/>
          <w:szCs w:val="24"/>
        </w:rPr>
        <w:t xml:space="preserve"> 39.517.000</w:t>
      </w:r>
      <w:r w:rsidR="00FE1A6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rupiah</w:t>
      </w:r>
      <w:r w:rsidR="00FE1A6A">
        <w:rPr>
          <w:rFonts w:ascii="Bookman Old Style" w:hAnsi="Bookman Old Style" w:cs="Arial"/>
          <w:sz w:val="24"/>
          <w:szCs w:val="24"/>
          <w:lang w:val="id-ID"/>
        </w:rPr>
        <w:t>)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562A5E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562A5E">
              <w:rPr>
                <w:rFonts w:ascii="Bookman Old Style" w:hAnsi="Bookman Old Style" w:cs="Arial"/>
                <w:sz w:val="24"/>
                <w:szCs w:val="24"/>
              </w:rPr>
              <w:t>delapan</w:t>
            </w:r>
            <w:proofErr w:type="spellEnd"/>
            <w:r w:rsidR="00F07E02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562A5E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562A5E">
              <w:rPr>
                <w:rFonts w:ascii="Bookman Old Style" w:hAnsi="Bookman Old Style" w:cs="Arial"/>
                <w:sz w:val="24"/>
                <w:szCs w:val="24"/>
              </w:rPr>
              <w:t>delapan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F23A68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bookmarkStart w:id="0" w:name="_GoBack"/>
      <w:bookmarkEnd w:id="0"/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Dawung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2BB9"/>
    <w:rsid w:val="003E16EC"/>
    <w:rsid w:val="004D38A7"/>
    <w:rsid w:val="00562A5E"/>
    <w:rsid w:val="006242DD"/>
    <w:rsid w:val="00673ABD"/>
    <w:rsid w:val="00723ED3"/>
    <w:rsid w:val="008B2CDE"/>
    <w:rsid w:val="008C5F90"/>
    <w:rsid w:val="009C6F8E"/>
    <w:rsid w:val="00AA1151"/>
    <w:rsid w:val="00BF1508"/>
    <w:rsid w:val="00BF78A6"/>
    <w:rsid w:val="00CC0A42"/>
    <w:rsid w:val="00D71ABA"/>
    <w:rsid w:val="00DA7356"/>
    <w:rsid w:val="00DD3076"/>
    <w:rsid w:val="00E57258"/>
    <w:rsid w:val="00E8276C"/>
    <w:rsid w:val="00F07E02"/>
    <w:rsid w:val="00F23A68"/>
    <w:rsid w:val="00FD27A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2022-06-13T14:26:00Z</cp:lastPrinted>
  <dcterms:created xsi:type="dcterms:W3CDTF">2022-02-03T17:18:00Z</dcterms:created>
  <dcterms:modified xsi:type="dcterms:W3CDTF">2022-07-11T14:11:00Z</dcterms:modified>
</cp:coreProperties>
</file>