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KEPUTUSAN BUPATI KARANGANYAR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NOMOR  300 /         TAHUN 2022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TENTANG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PEMBENTUKAN TIM TERPADU PENANGANAN KONFLIK SOSIAL DAN SEKRETARIAT TIM TERPADU PENANGANAN KONFLIK SOSIAL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BUPATI KARANGANYAR,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bl>
      <w:tblPr>
        <w:tblStyle w:val="Table1"/>
        <w:tblW w:w="91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6"/>
        <w:gridCol w:w="293"/>
        <w:gridCol w:w="9"/>
        <w:gridCol w:w="6761"/>
        <w:tblGridChange w:id="0">
          <w:tblGrid>
            <w:gridCol w:w="2116"/>
            <w:gridCol w:w="293"/>
            <w:gridCol w:w="9"/>
            <w:gridCol w:w="6761"/>
          </w:tblGrid>
        </w:tblGridChange>
      </w:tblGrid>
      <w:tr>
        <w:trPr>
          <w:cantSplit w:val="1"/>
          <w:trHeight w:val="2342" w:hRule="atLeast"/>
          <w:tblHeader w:val="1"/>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Menimbang</w:t>
            </w:r>
          </w:p>
        </w:tc>
        <w:tc>
          <w:tcPr>
            <w:gridSpan w:val="2"/>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bookmarkStart w:colFirst="0" w:colLast="0" w:name="_gjdgxs" w:id="0"/>
            <w:bookmarkEnd w:id="0"/>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bahwa dalam rangka melindungi dan memberikan rasa aman pada masyarakat, serta meningkatkan koordinasi guna penanganan konflik sosial, perlu dibentuk Tim Terpadu Penanganan Konflik Sosial dan Sekretariat Tim Terpadu Penanganan Konflik Sosial;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bahwa berdasarkan pertimbangan sebagaimana dimaksud dalam huruf a, perlu menetapkan Keputusan Bupati tentang Pembentukan Tim Terpadu Penanganan Konflik Sosial dan Sekretariat Tim Terpadu Penanganan Konflik Sosial;</w:t>
            </w:r>
          </w:p>
        </w:tc>
      </w:tr>
      <w:tr>
        <w:trPr>
          <w:cantSplit w:val="1"/>
          <w:trHeight w:val="1420" w:hRule="atLeast"/>
          <w:tblHeader w:val="1"/>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Mengingat</w:t>
            </w:r>
          </w:p>
        </w:tc>
        <w:tc>
          <w:tcPr>
            <w:gridSpan w:val="2"/>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6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Undang-Undang Nomor 13 Tahun 1950 tentang Pembentukan Daerah-daerah Kabupaten dalam Lingkungan Provinsi Jawa Tengah;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Undang-Undang Nomor 7 Tahun 2012 tentang Penanganan Konflik Sosial (Lembaran Negara Republik Indonesia   Tahun 2012 Nomor 116, Tambahan Lembaran Negara Republik Indonesia  Nomor 5315);</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Peraturan Pemerintah Nomor 2 Tahun 2015 tentang Peraturan Pelaksanaan Undang-Undang Nomor 7 Tahun 2012 tentang Penanganan Konflik Sosial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(Lembaran Negara Republik Indonesia Tahun 2015 Nomor 25, Tambahan Lembaran Negara Republik Indonesia Nomor 5658);</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Peraturan Menteri Dalam Negeri Nomor 42         Tahun 2015 tentang Pelaksanaan Koordinasi Penanganan Konflik Sosial;</w:t>
            </w:r>
            <w:r w:rsidDel="00000000" w:rsidR="00000000" w:rsidRPr="00000000">
              <w:rPr>
                <w:rtl w:val="0"/>
              </w:rPr>
            </w:r>
          </w:p>
        </w:tc>
      </w:tr>
      <w:tr>
        <w:trPr>
          <w:cantSplit w:val="1"/>
          <w:trHeight w:val="1421" w:hRule="atLeast"/>
          <w:tblHeader w:val="1"/>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Memperhatikan</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gridSpan w:val="2"/>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Surat Edaran Menteri Dalam Negeri                   Nomor 460/964.SJ tanggal 23 Februari 2015 tentang Pembentukan Tim Terpadu dalam melaksanakan Rencana Aksi Terpadu Penanganan Konflik Sosial Tingkat Provinsi dan Kabupaten/Kota;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6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9" w:right="0" w:hanging="459"/>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MEMUTUSKAN :</w:t>
            </w:r>
          </w:p>
        </w:tc>
      </w:tr>
      <w:tr>
        <w:trPr>
          <w:cantSplit w:val="1"/>
          <w:tblHeader w:val="1"/>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Menetapkan</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gridSpan w:val="2"/>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9" w:right="0" w:hanging="459"/>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KESATU</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gridSpan w:val="2"/>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Membentuk Tim Terpadu Penanganan Konflik Sosial dan Sekretariat Tim Terpadu Penanganan Konflik Sosial, dengan susunan Tim Terpadu dan Sekretariat Tim Terpadu sebagaimana tersebut dalam Lampiran Keputusan ini.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r>
      <w:tr>
        <w:trPr>
          <w:cantSplit w:val="1"/>
          <w:trHeight w:val="3123" w:hRule="atLeast"/>
          <w:tblHeader w:val="1"/>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KEDUA</w:t>
            </w:r>
          </w:p>
        </w:tc>
        <w:tc>
          <w:tcPr>
            <w:gridSpan w:val="2"/>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Tim Terpadu sebagaimana dimaksud Diktum KESATU Keputusan ini, mempunyai tugas sebagai berikut :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menyusun Rencana Aksi Terpadu Penanganan Konflik Sosial tingkat Kabupaten/Kota;</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mengoordinasikan, mengarahkan, mengendalikan, dan mengawasi penanganan konflik dalam skala Kabupaten/Kota;</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memberikan informasi kepada publik tentang terjadinya konflik dan upaya penanganannya;</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melakukan upaya pencegahan melalui sistem peringatan dini;</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merespon secara cepat dan menyelesaikan secara damai semua permasalahan yang berpotensi menimbulkan konflik; dan</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membantu upaya penanganan pengungsi dan pemulihan </w:t>
            </w:r>
            <w:r w:rsidDel="00000000" w:rsidR="00000000" w:rsidRPr="00000000">
              <w:rPr>
                <w:rFonts w:ascii="Bookman Old Style" w:cs="Bookman Old Style" w:eastAsia="Bookman Old Style" w:hAnsi="Bookman Old Style"/>
                <w:color w:val="1d1b11"/>
                <w:sz w:val="24"/>
                <w:szCs w:val="24"/>
                <w:rtl w:val="0"/>
              </w:rPr>
              <w:t xml:space="preserve">pasca konflik</w:t>
            </w: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 yang meliputi rekonsiliasi, rehabilitasi, dan rekonstruksi.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4"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r>
      <w:tr>
        <w:trPr>
          <w:cantSplit w:val="1"/>
          <w:trHeight w:val="971" w:hRule="atLeast"/>
          <w:tblHeader w:val="1"/>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KETIGA</w:t>
            </w:r>
          </w:p>
        </w:tc>
        <w:tc>
          <w:tcPr>
            <w:gridSpan w:val="2"/>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Tugas Sekretariat Tim Terpadu Penanganan Konflik Sosial sebagaimana dimaksud Diktum KESATU Keputusan ini adalah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menyelenggarakan administrasi Tim Terpadu Penanganan Konflik Sosial;</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menghimpun bahan penyusunan Rencana Aksi Terpadu Penanganan Konflik Sosial tingkat Kabupaten/Kota;</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melaksanakan tugas-tugas lain yang berkaitan dengan penyelenggaraan rapat, pertemuan, rapat koordinasi Tim Terpadu Penanganan Konflik Sosial; dan</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94" w:right="0" w:hanging="360"/>
              <w:jc w:val="both"/>
              <w:rPr>
                <w:rFonts w:ascii="Bookman Old Style" w:cs="Bookman Old Style" w:eastAsia="Bookman Old Style" w:hAnsi="Bookman Old Style"/>
                <w:b w:val="0"/>
                <w:i w:val="0"/>
                <w:smallCaps w:val="0"/>
                <w:strike w:val="0"/>
                <w:color w:val="1d1b11"/>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menyampaikan laporan pelaksanaan penanganan gangguan keamanan yang berkaitan dengan konflik sosial dan terorisme di daerah secara berkala/insidental kepada Tim Terpadu Tingkat Pusat secara berjenjang.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4"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c>
      </w:tr>
      <w:tr>
        <w:trPr>
          <w:cantSplit w:val="1"/>
          <w:trHeight w:val="971" w:hRule="atLeast"/>
          <w:tblHeader w:val="1"/>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KEEMPAT</w:t>
            </w:r>
          </w:p>
        </w:tc>
        <w:tc>
          <w:tcPr>
            <w:gridSpan w:val="2"/>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Biaya yang timbul dengan ditetapkannya Keputusan ini, dibebankan pada Anggaran Pendapatan dan Belanja Daerah.</w:t>
            </w:r>
          </w:p>
        </w:tc>
      </w:tr>
      <w:tr>
        <w:trPr>
          <w:cantSplit w:val="1"/>
          <w:trHeight w:val="286" w:hRule="atLeast"/>
          <w:tblHeader w:val="1"/>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KELIMA</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gridSpan w:val="2"/>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Dengan ditetapkannya Keputusan ini, maka Keputusan Bupati Karanganyar Nomor 300/65 Tahun 2021 tentang Pembentukan Tim Penanganan Konflik Sosial,  dicabut dan dinyatakan tidak berlaku.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88" w:hRule="atLeast"/>
          <w:tblHeader w:val="1"/>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KEENAM</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t>
            </w:r>
          </w:p>
        </w:tc>
        <w:tc>
          <w:tcPr>
            <w:gridSpan w:val="2"/>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Keputusan ini mulai berlaku pada tanggal ditetapkan. </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1067.0000000000005"/>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Ditetapkan di Karanganyar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1067.0000000000005"/>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pada tanggal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1067.0000000000005"/>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1787.0000000000005"/>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BUPATI KARANGANYAR,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1787.0000000000005"/>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1787.0000000000005"/>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1787.0000000000005"/>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1787.0000000000005"/>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1787.0000000000005"/>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JULIYATMONO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42"/>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Tembusan :</w:t>
      </w:r>
    </w:p>
    <w:tbl>
      <w:tblPr>
        <w:tblStyle w:val="Table2"/>
        <w:tblW w:w="56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5079"/>
        <w:tblGridChange w:id="0">
          <w:tblGrid>
            <w:gridCol w:w="591"/>
            <w:gridCol w:w="5079"/>
          </w:tblGrid>
        </w:tblGridChange>
      </w:tblGrid>
      <w:tr>
        <w:trPr>
          <w:cantSplit w:val="1"/>
          <w:tblHeader w:val="1"/>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Komandan Kodim 0727 / Karanganyar;</w:t>
            </w:r>
          </w:p>
        </w:tc>
      </w:tr>
      <w:tr>
        <w:trPr>
          <w:cantSplit w:val="1"/>
          <w:tblHeader w:val="1"/>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2.</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Kepolisian Resort  Karanganyar;</w:t>
            </w:r>
          </w:p>
        </w:tc>
      </w:tr>
      <w:tr>
        <w:trPr>
          <w:cantSplit w:val="1"/>
          <w:tblHeader w:val="1"/>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3.</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Kejaksaan Negeri Karanganyar;</w:t>
            </w:r>
          </w:p>
        </w:tc>
      </w:tr>
      <w:tr>
        <w:trPr>
          <w:cantSplit w:val="1"/>
          <w:tblHeader w:val="1"/>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4.</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Kantor Kementrian Agama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Kabupaten Karanganyar;</w:t>
            </w:r>
          </w:p>
        </w:tc>
      </w:tr>
      <w:tr>
        <w:trPr>
          <w:cantSplit w:val="1"/>
          <w:tblHeader w:val="1"/>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5.</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Inspektur  Daerah Kabupaten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Karanganyar;</w:t>
            </w:r>
          </w:p>
        </w:tc>
      </w:tr>
      <w:tr>
        <w:trPr>
          <w:cantSplit w:val="1"/>
          <w:tblHeader w:val="1"/>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6.</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 w:right="0" w:firstLine="24.000000000000004"/>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Badan Kesatuan Bangsa dan Politik Kabupaten Karanganyar;</w:t>
            </w:r>
          </w:p>
        </w:tc>
      </w:tr>
      <w:tr>
        <w:trPr>
          <w:cantSplit w:val="1"/>
          <w:tblHeader w:val="1"/>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7.</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 w:right="0" w:firstLine="24.000000000000004"/>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Badan Keuangan Daerah Kabupaten Karanganyar;</w:t>
            </w:r>
          </w:p>
        </w:tc>
      </w:tr>
      <w:tr>
        <w:trPr>
          <w:cantSplit w:val="1"/>
          <w:tblHeader w:val="1"/>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8.</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 w:right="0" w:firstLine="24.000000000000004"/>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Bagian Hukum Sekretariat Daerah Kabupaten Karanganyar;</w:t>
            </w:r>
            <w:r w:rsidDel="00000000" w:rsidR="00000000" w:rsidRPr="00000000">
              <w:rPr>
                <w:rtl w:val="0"/>
              </w:rPr>
            </w:r>
          </w:p>
        </w:tc>
      </w:tr>
      <w:tr>
        <w:trPr>
          <w:cantSplit w:val="1"/>
          <w:tblHeader w:val="1"/>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9.</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Tim yang bersangkutan.</w:t>
            </w: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tbl>
      <w:tblPr>
        <w:tblStyle w:val="Table3"/>
        <w:tblW w:w="450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1134"/>
        <w:tblGridChange w:id="0">
          <w:tblGrid>
            <w:gridCol w:w="3369"/>
            <w:gridCol w:w="1134"/>
          </w:tblGrid>
        </w:tblGridChange>
      </w:tblGrid>
      <w:tr>
        <w:trPr>
          <w:cantSplit w:val="1"/>
          <w:trHeight w:val="390" w:hRule="atLeast"/>
          <w:tblHeader w:val="1"/>
        </w:trPr>
        <w:tc>
          <w:tcPr>
            <w:gridSpan w:val="2"/>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Telah Dikoordinasikan</w:t>
            </w:r>
          </w:p>
        </w:tc>
      </w:tr>
      <w:tr>
        <w:trPr>
          <w:cantSplit w:val="1"/>
          <w:trHeight w:val="345" w:hRule="atLeast"/>
          <w:tblHeader w:val="1"/>
        </w:trPr>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PEJABAT</w:t>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PARAF</w:t>
            </w:r>
          </w:p>
        </w:tc>
      </w:tr>
      <w:tr>
        <w:trPr>
          <w:cantSplit w:val="1"/>
          <w:tblHeader w:val="1"/>
        </w:trPr>
        <w:tc>
          <w:tcPr>
            <w:vAlign w:val="center"/>
          </w:tcPr>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Bookman Old Style" w:cs="Bookman Old Style" w:eastAsia="Bookman Old Style" w:hAnsi="Bookman Old Style"/>
                <w:b w:val="0"/>
                <w:i w:val="0"/>
                <w:smallCaps w:val="0"/>
                <w:strike w:val="0"/>
                <w:color w:val="00000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Asisten Pemerintahan dan Kesra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88" w:hRule="atLeast"/>
          <w:tblHeader w:val="1"/>
        </w:trPr>
        <w:tc>
          <w:tcPr>
            <w:vAlign w:val="center"/>
          </w:tcPr>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Bookman Old Style" w:cs="Bookman Old Style" w:eastAsia="Bookman Old Style" w:hAnsi="Bookman Old Style"/>
                <w:b w:val="0"/>
                <w:i w:val="0"/>
                <w:smallCaps w:val="0"/>
                <w:strike w:val="0"/>
                <w:color w:val="00000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Kepala Badan Kesbang  dan Politik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LAMPIRAN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KEPUTUSAN BUPATI KARANGANYAR</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NOMOR 300/               TAHUN 2022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TENTANG</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PEMBENTUKAN TIM TERPADU PENANGANAN KONFLIK SOSIAL DAN SEKRETARIAT TIM TERPADU PENANGANAN KONFLIK SOSIAL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95" w:right="0" w:firstLine="0"/>
        <w:jc w:val="both"/>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SUSUNAN TIM TERPADU PENANGANAN KONFLIK SOSIAL </w:t>
      </w:r>
    </w:p>
    <w:tbl>
      <w:tblPr>
        <w:tblStyle w:val="Table4"/>
        <w:tblW w:w="9288.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663"/>
        <w:gridCol w:w="6105"/>
        <w:gridCol w:w="2520"/>
        <w:tblGridChange w:id="0">
          <w:tblGrid>
            <w:gridCol w:w="663"/>
            <w:gridCol w:w="6105"/>
            <w:gridCol w:w="2520"/>
          </w:tblGrid>
        </w:tblGridChange>
      </w:tblGrid>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2"/>
                <w:szCs w:val="22"/>
                <w:u w:val="none"/>
                <w:shd w:fill="auto" w:val="clear"/>
                <w:vertAlign w:val="baseline"/>
                <w:rtl w:val="0"/>
              </w:rPr>
              <w:t xml:space="preserve">JABATAN DALAM DINAS  / INSTANSI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2"/>
                <w:szCs w:val="22"/>
                <w:u w:val="none"/>
                <w:shd w:fill="auto" w:val="clear"/>
                <w:vertAlign w:val="baseline"/>
                <w:rtl w:val="0"/>
              </w:rPr>
              <w:t xml:space="preserve">KEDUDUKAN DALAM TIM</w:t>
            </w:r>
            <w:r w:rsidDel="00000000" w:rsidR="00000000" w:rsidRPr="00000000">
              <w:rPr>
                <w:rtl w:val="0"/>
              </w:rPr>
            </w:r>
          </w:p>
        </w:tc>
      </w:tr>
      <w:tr>
        <w:trPr>
          <w:cantSplit w:val="0"/>
          <w:tblHeader w:val="0"/>
        </w:trPr>
        <w:tc>
          <w:tcPr>
            <w:tcBorders>
              <w:top w:color="000000" w:space="0" w:sz="4" w:val="single"/>
              <w:bottom w:color="000000" w:space="0" w:sz="0" w:val="nil"/>
              <w:right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Bupati </w:t>
            </w:r>
          </w:p>
        </w:tc>
        <w:tc>
          <w:tcPr>
            <w:tcBorders>
              <w:top w:color="000000" w:space="0" w:sz="4" w:val="single"/>
              <w:lef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Ketua</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2.</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Sekretaris Daerah</w:t>
            </w:r>
          </w:p>
        </w:tc>
        <w:tc>
          <w:tcPr>
            <w:tcBorders>
              <w:left w:color="000000" w:space="0" w:sz="4" w:val="single"/>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Ketua I</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3.</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Kapolres Karanganyar</w:t>
            </w:r>
          </w:p>
        </w:tc>
        <w:tc>
          <w:tcPr>
            <w:tcBorders>
              <w:lef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Ketua II</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4.</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Komandan Kodim 0727/Karanganyar</w:t>
            </w:r>
          </w:p>
        </w:tc>
        <w:tc>
          <w:tcPr>
            <w:tcBorders>
              <w:left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Ketua III</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5.</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Kejaksaan Negeri Karanganyar</w:t>
            </w:r>
          </w:p>
        </w:tc>
        <w:tc>
          <w:tcPr>
            <w:tcBorders>
              <w:left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Ketua IV</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6.</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Badan Kesbang dan Politik</w:t>
            </w:r>
          </w:p>
        </w:tc>
        <w:tc>
          <w:tcPr>
            <w:tcBorders>
              <w:left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Sekretaris</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7.</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Kabag. Ops. Polres Karanganyar</w:t>
            </w:r>
          </w:p>
        </w:tc>
        <w:tc>
          <w:tcPr>
            <w:tcBorders>
              <w:left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Sekretaris I</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8.</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Pasi. Ops. Kodim 0727/Karanganyar</w:t>
            </w:r>
          </w:p>
        </w:tc>
        <w:tc>
          <w:tcPr>
            <w:tcBorders>
              <w:left w:color="000000" w:space="0" w:sz="4"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Sekretaris II</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9.</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Kasi. Intelijen Kejaksanaan Negeri Karanganyar</w:t>
            </w:r>
          </w:p>
        </w:tc>
        <w:tc>
          <w:tcPr>
            <w:tcBorders>
              <w:lef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Wakil Sekretaris III</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10.</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Kantor Pertanahan</w:t>
            </w:r>
          </w:p>
        </w:tc>
        <w:tc>
          <w:tcPr>
            <w:tcBorders>
              <w:left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Anggota</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11.</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Kantor Kementrian Agama</w:t>
            </w:r>
          </w:p>
        </w:tc>
        <w:tc>
          <w:tcPr>
            <w:tcBorders>
              <w:left w:color="000000" w:space="0" w:sz="4" w:val="single"/>
            </w:tcBorders>
          </w:tcPr>
          <w:p w:rsidR="00000000" w:rsidDel="00000000" w:rsidP="00000000" w:rsidRDefault="00000000" w:rsidRPr="00000000" w14:paraId="000000AF">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12.</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Asisten Pemerintahan dan Kesra Sekda</w:t>
            </w:r>
          </w:p>
        </w:tc>
        <w:tc>
          <w:tcPr>
            <w:tcBorders>
              <w:left w:color="000000" w:space="0" w:sz="4" w:val="single"/>
            </w:tcBorders>
          </w:tcPr>
          <w:p w:rsidR="00000000" w:rsidDel="00000000" w:rsidP="00000000" w:rsidRDefault="00000000" w:rsidRPr="00000000" w14:paraId="000000B2">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13.</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Badan Perencanaan, Penelitian, dan Pengembangan</w:t>
            </w:r>
          </w:p>
        </w:tc>
        <w:tc>
          <w:tcPr>
            <w:tcBorders>
              <w:left w:color="000000" w:space="0" w:sz="4" w:val="single"/>
            </w:tcBorders>
          </w:tcPr>
          <w:p w:rsidR="00000000" w:rsidDel="00000000" w:rsidP="00000000" w:rsidRDefault="00000000" w:rsidRPr="00000000" w14:paraId="000000B5">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14.</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Satpol PP</w:t>
            </w:r>
          </w:p>
        </w:tc>
        <w:tc>
          <w:tcPr>
            <w:tcBorders>
              <w:left w:color="000000" w:space="0" w:sz="4" w:val="single"/>
            </w:tcBorders>
          </w:tcPr>
          <w:p w:rsidR="00000000" w:rsidDel="00000000" w:rsidP="00000000" w:rsidRDefault="00000000" w:rsidRPr="00000000" w14:paraId="000000B8">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15.</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Kepala Pelaksana BPBD</w:t>
            </w:r>
          </w:p>
        </w:tc>
        <w:tc>
          <w:tcPr>
            <w:tcBorders>
              <w:left w:color="000000" w:space="0" w:sz="4" w:val="single"/>
            </w:tcBorders>
          </w:tcPr>
          <w:p w:rsidR="00000000" w:rsidDel="00000000" w:rsidP="00000000" w:rsidRDefault="00000000" w:rsidRPr="00000000" w14:paraId="000000BB">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16.</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Kabag. Hukum Setda</w:t>
            </w:r>
          </w:p>
        </w:tc>
        <w:tc>
          <w:tcPr>
            <w:tcBorders>
              <w:left w:color="000000" w:space="0" w:sz="4" w:val="single"/>
            </w:tcBorders>
          </w:tcPr>
          <w:p w:rsidR="00000000" w:rsidDel="00000000" w:rsidP="00000000" w:rsidRDefault="00000000" w:rsidRPr="00000000" w14:paraId="000000BE">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r>
        <w:trPr>
          <w:cantSplit w:val="0"/>
          <w:tblHeader w:val="0"/>
        </w:trPr>
        <w:tc>
          <w:tcPr>
            <w:tcBorders>
              <w:top w:color="000000" w:space="0" w:sz="0" w:val="nil"/>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17.</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Kabag. Pemerintahan Setda</w:t>
            </w:r>
          </w:p>
        </w:tc>
        <w:tc>
          <w:tcPr>
            <w:tcBorders>
              <w:left w:color="000000" w:space="0" w:sz="4" w:val="single"/>
            </w:tcBorders>
          </w:tcPr>
          <w:p w:rsidR="00000000" w:rsidDel="00000000" w:rsidP="00000000" w:rsidRDefault="00000000" w:rsidRPr="00000000" w14:paraId="000000C1">
            <w:pPr>
              <w:spacing w:line="360" w:lineRule="auto"/>
              <w:jc w:val="center"/>
              <w:rPr/>
            </w:pPr>
            <w:r w:rsidDel="00000000" w:rsidR="00000000" w:rsidRPr="00000000">
              <w:rPr>
                <w:rFonts w:ascii="Bookman Old Style" w:cs="Bookman Old Style" w:eastAsia="Bookman Old Style" w:hAnsi="Bookman Old Style"/>
                <w:color w:val="1d1b11"/>
                <w:sz w:val="24"/>
                <w:szCs w:val="24"/>
                <w:rtl w:val="0"/>
              </w:rPr>
              <w:t xml:space="preserve">Anggota</w:t>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rPr>
          <w:rFonts w:ascii="Bookman Old Style" w:cs="Bookman Old Style" w:eastAsia="Bookman Old Style" w:hAnsi="Bookman Old Style"/>
          <w:color w:val="1d1b1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SUSUNAN SEKRETARIAT TIM TERPADU PENANGANAN KONFLIK SOSIAL </w:t>
      </w:r>
    </w:p>
    <w:tbl>
      <w:tblPr>
        <w:tblStyle w:val="Table5"/>
        <w:tblW w:w="9288.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663"/>
        <w:gridCol w:w="6105"/>
        <w:gridCol w:w="2520"/>
        <w:tblGridChange w:id="0">
          <w:tblGrid>
            <w:gridCol w:w="663"/>
            <w:gridCol w:w="6105"/>
            <w:gridCol w:w="2520"/>
          </w:tblGrid>
        </w:tblGridChange>
      </w:tblGrid>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2"/>
                <w:szCs w:val="22"/>
                <w:u w:val="none"/>
                <w:shd w:fill="auto" w:val="clear"/>
                <w:vertAlign w:val="baseline"/>
                <w:rtl w:val="0"/>
              </w:rPr>
              <w:t xml:space="preserve">JABATAN DALAM DINAS  / INSTANSI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2"/>
                <w:szCs w:val="22"/>
                <w:u w:val="none"/>
                <w:shd w:fill="auto" w:val="clear"/>
                <w:vertAlign w:val="baseline"/>
                <w:rtl w:val="0"/>
              </w:rPr>
              <w:t xml:space="preserve">KEDUDUKAN DALAM TIM</w:t>
            </w:r>
            <w:r w:rsidDel="00000000" w:rsidR="00000000" w:rsidRPr="00000000">
              <w:rPr>
                <w:rtl w:val="0"/>
              </w:rPr>
            </w:r>
          </w:p>
        </w:tc>
      </w:tr>
      <w:tr>
        <w:trPr>
          <w:cantSplit w:val="0"/>
          <w:tblHeader w:val="0"/>
        </w:trPr>
        <w:tc>
          <w:tcPr>
            <w:tcBorders>
              <w:top w:color="000000" w:space="0" w:sz="4" w:val="single"/>
              <w:bottom w:color="000000" w:space="0" w:sz="0" w:val="nil"/>
              <w:right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1.</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Sekretaris Badan Kesbang dan Politik</w:t>
            </w:r>
          </w:p>
        </w:tc>
        <w:tc>
          <w:tcPr>
            <w:tcBorders>
              <w:top w:color="000000" w:space="0" w:sz="4" w:val="single"/>
              <w:left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Koordinator</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2.</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Kabid. Kewaspadaan Nasional dan Penanganan Konflik Badan Kesbang dan Politik</w:t>
            </w:r>
          </w:p>
        </w:tc>
        <w:tc>
          <w:tcPr>
            <w:tcBorders>
              <w:left w:color="00000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Anggota</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3.</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Kabid. Ideologi, Wawasan Kebangsaan dan Ketahanan Ekonomi, Sosial, Budaya, dan Agama</w:t>
            </w:r>
          </w:p>
        </w:tc>
        <w:tc>
          <w:tcPr>
            <w:tcBorders>
              <w:left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Anggota</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4.</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Kabid. Politik Dalam Negeri dan Organisasi Kemasyarakatan</w:t>
            </w:r>
          </w:p>
        </w:tc>
        <w:tc>
          <w:tcPr>
            <w:tcBorders>
              <w:lef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Anggota</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5.</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commentRangeStart w:id="0"/>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2 (dua) Orang Analis Kebijakan Ahli Muda pada Badan Kesbang dan Politik</w:t>
            </w:r>
          </w:p>
        </w:tc>
        <w:tc>
          <w:tcPr>
            <w:tcBorders>
              <w:left w:color="000000" w:space="0" w:sz="4"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commentRangeEnd w:id="0"/>
            <w:r w:rsidDel="00000000" w:rsidR="00000000" w:rsidRPr="00000000">
              <w:commentReference w:id="0"/>
            </w: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Anggota</w:t>
            </w:r>
          </w:p>
        </w:tc>
      </w:tr>
      <w:tr>
        <w:trPr>
          <w:cantSplit w:val="0"/>
          <w:tblHeader w:val="0"/>
        </w:trPr>
        <w:tc>
          <w:tcPr>
            <w:tcBorders>
              <w:top w:color="000000" w:space="0" w:sz="0" w:val="nil"/>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6.</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commentRangeStart w:id="1"/>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3 (tiga) Orang Analis Pengawasan Masyarakat pada Badan Kesbang dan Politik</w:t>
            </w:r>
            <w:commentRangeEnd w:id="1"/>
            <w:r w:rsidDel="00000000" w:rsidR="00000000" w:rsidRPr="00000000">
              <w:commentReference w:id="1"/>
            </w:r>
            <w:r w:rsidDel="00000000" w:rsidR="00000000" w:rsidRPr="00000000">
              <w:rPr>
                <w:rtl w:val="0"/>
              </w:rPr>
            </w:r>
          </w:p>
        </w:tc>
        <w:tc>
          <w:tcPr>
            <w:tcBorders>
              <w:lef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4"/>
                <w:szCs w:val="24"/>
                <w:u w:val="none"/>
                <w:shd w:fill="auto" w:val="clear"/>
                <w:vertAlign w:val="baseline"/>
                <w:rtl w:val="0"/>
              </w:rPr>
              <w:t xml:space="preserve">Anggota</w:t>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2"/>
          <w:szCs w:val="22"/>
          <w:u w:val="none"/>
          <w:shd w:fill="auto" w:val="clear"/>
          <w:vertAlign w:val="baseline"/>
        </w:rPr>
      </w:pPr>
      <w:r w:rsidDel="00000000" w:rsidR="00000000" w:rsidRPr="00000000">
        <w:rPr>
          <w:rtl w:val="0"/>
        </w:rPr>
      </w:r>
    </w:p>
    <w:tbl>
      <w:tblPr>
        <w:tblStyle w:val="Table6"/>
        <w:tblW w:w="450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1134"/>
        <w:tblGridChange w:id="0">
          <w:tblGrid>
            <w:gridCol w:w="3369"/>
            <w:gridCol w:w="1134"/>
          </w:tblGrid>
        </w:tblGridChange>
      </w:tblGrid>
      <w:tr>
        <w:trPr>
          <w:cantSplit w:val="0"/>
          <w:trHeight w:val="390" w:hRule="atLeast"/>
          <w:tblHeader w:val="0"/>
        </w:trPr>
        <w:tc>
          <w:tcPr>
            <w:gridSpan w:val="2"/>
            <w:vAlign w:val="center"/>
          </w:tcPr>
          <w:p w:rsidR="00000000" w:rsidDel="00000000" w:rsidP="00000000" w:rsidRDefault="00000000" w:rsidRPr="00000000" w14:paraId="000000DC">
            <w:pPr>
              <w:spacing w:after="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Telah Dikoordinasikan</w:t>
            </w:r>
          </w:p>
        </w:tc>
      </w:tr>
      <w:tr>
        <w:trPr>
          <w:cantSplit w:val="0"/>
          <w:trHeight w:val="345" w:hRule="atLeast"/>
          <w:tblHeader w:val="0"/>
        </w:trPr>
        <w:tc>
          <w:tcPr>
            <w:vAlign w:val="center"/>
          </w:tcPr>
          <w:p w:rsidR="00000000" w:rsidDel="00000000" w:rsidP="00000000" w:rsidRDefault="00000000" w:rsidRPr="00000000" w14:paraId="000000DE">
            <w:pPr>
              <w:spacing w:after="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PEJABAT</w:t>
            </w:r>
          </w:p>
        </w:tc>
        <w:tc>
          <w:tcPr>
            <w:vAlign w:val="center"/>
          </w:tcPr>
          <w:p w:rsidR="00000000" w:rsidDel="00000000" w:rsidP="00000000" w:rsidRDefault="00000000" w:rsidRPr="00000000" w14:paraId="000000DF">
            <w:pPr>
              <w:spacing w:after="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PARAF</w:t>
            </w:r>
          </w:p>
        </w:tc>
      </w:tr>
      <w:tr>
        <w:trPr>
          <w:cantSplit w:val="0"/>
          <w:tblHeader w:val="0"/>
        </w:trPr>
        <w:tc>
          <w:tcPr>
            <w:vAlign w:val="center"/>
          </w:tcPr>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Asisten Pemerintahan dan Kesra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2">
            <w:pPr>
              <w:spacing w:after="0" w:line="240" w:lineRule="auto"/>
              <w:jc w:val="center"/>
              <w:rPr>
                <w:rFonts w:ascii="Bookman Old Style" w:cs="Bookman Old Style" w:eastAsia="Bookman Old Style" w:hAnsi="Bookman Old Style"/>
              </w:rPr>
            </w:pPr>
            <w:r w:rsidDel="00000000" w:rsidR="00000000" w:rsidRPr="00000000">
              <w:rPr>
                <w:rtl w:val="0"/>
              </w:rPr>
            </w:r>
          </w:p>
        </w:tc>
      </w:tr>
      <w:tr>
        <w:trPr>
          <w:cantSplit w:val="0"/>
          <w:trHeight w:val="788" w:hRule="atLeast"/>
          <w:tblHeader w:val="0"/>
        </w:trPr>
        <w:tc>
          <w:tcPr>
            <w:vAlign w:val="center"/>
          </w:tcPr>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Kepala Badan Kesbang  dan Politik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spacing w:after="0" w:line="240" w:lineRule="auto"/>
              <w:jc w:val="center"/>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E6">
      <w:pPr>
        <w:spacing w:after="0" w:line="240" w:lineRule="auto"/>
        <w:rPr>
          <w:rFonts w:ascii="Bookman Old Style" w:cs="Bookman Old Style" w:eastAsia="Bookman Old Style" w:hAnsi="Bookman Old Style"/>
          <w:color w:val="1d1b11"/>
        </w:rPr>
      </w:pPr>
      <w:r w:rsidDel="00000000" w:rsidR="00000000" w:rsidRPr="00000000">
        <w:rPr>
          <w:rtl w:val="0"/>
        </w:rPr>
      </w:r>
    </w:p>
    <w:p w:rsidR="00000000" w:rsidDel="00000000" w:rsidP="00000000" w:rsidRDefault="00000000" w:rsidRPr="00000000" w14:paraId="000000E7">
      <w:pPr>
        <w:tabs>
          <w:tab w:val="left" w:pos="5103"/>
        </w:tabs>
        <w:spacing w:after="0" w:line="240" w:lineRule="auto"/>
        <w:rPr>
          <w:rFonts w:ascii="Bookman Old Style" w:cs="Bookman Old Style" w:eastAsia="Bookman Old Style" w:hAnsi="Bookman Old Style"/>
          <w:color w:val="1d1b11"/>
        </w:rPr>
      </w:pPr>
      <w:r w:rsidDel="00000000" w:rsidR="00000000" w:rsidRPr="00000000">
        <w:rPr>
          <w:rFonts w:ascii="Bookman Old Style" w:cs="Bookman Old Style" w:eastAsia="Bookman Old Style" w:hAnsi="Bookman Old Style"/>
          <w:color w:val="1d1b11"/>
          <w:rtl w:val="0"/>
        </w:rPr>
        <w:t xml:space="preserve">              </w:t>
        <w:tab/>
        <w:tab/>
      </w:r>
    </w:p>
    <w:p w:rsidR="00000000" w:rsidDel="00000000" w:rsidP="00000000" w:rsidRDefault="00000000" w:rsidRPr="00000000" w14:paraId="000000E8">
      <w:pPr>
        <w:tabs>
          <w:tab w:val="left" w:pos="5103"/>
        </w:tabs>
        <w:spacing w:after="0" w:line="240" w:lineRule="auto"/>
        <w:rPr>
          <w:rFonts w:ascii="Bookman Old Style" w:cs="Bookman Old Style" w:eastAsia="Bookman Old Style" w:hAnsi="Bookman Old Style"/>
          <w:color w:val="1d1b11"/>
        </w:rPr>
      </w:pPr>
      <w:r w:rsidDel="00000000" w:rsidR="00000000" w:rsidRPr="00000000">
        <w:rPr>
          <w:rFonts w:ascii="Bookman Old Style" w:cs="Bookman Old Style" w:eastAsia="Bookman Old Style" w:hAnsi="Bookman Old Style"/>
          <w:color w:val="1d1b11"/>
          <w:rtl w:val="0"/>
        </w:rPr>
        <w:t xml:space="preserve">                BUPATI KARANGANYAR,</w:t>
      </w:r>
    </w:p>
    <w:p w:rsidR="00000000" w:rsidDel="00000000" w:rsidP="00000000" w:rsidRDefault="00000000" w:rsidRPr="00000000" w14:paraId="000000E9">
      <w:pPr>
        <w:ind w:left="284"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B">
      <w:pPr>
        <w:tabs>
          <w:tab w:val="left" w:pos="5812"/>
        </w:tabs>
        <w:spacing w:after="0" w:lineRule="auto"/>
        <w:rPr>
          <w:rFonts w:ascii="Bookman Old Style" w:cs="Bookman Old Style" w:eastAsia="Bookman Old Style" w:hAnsi="Bookman Old Style"/>
          <w:color w:val="1d1b11"/>
        </w:rPr>
      </w:pPr>
      <w:r w:rsidDel="00000000" w:rsidR="00000000" w:rsidRPr="00000000">
        <w:rPr>
          <w:rFonts w:ascii="Bookman Old Style" w:cs="Bookman Old Style" w:eastAsia="Bookman Old Style" w:hAnsi="Bookman Old Style"/>
          <w:color w:val="1d1b11"/>
          <w:rtl w:val="0"/>
        </w:rPr>
        <w:t xml:space="preserve">                JULIYATMONO</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103"/>
        </w:tabs>
        <w:spacing w:after="0" w:before="0" w:line="240" w:lineRule="auto"/>
        <w:ind w:left="0" w:right="0" w:firstLine="0"/>
        <w:jc w:val="left"/>
        <w:rPr>
          <w:rFonts w:ascii="Bookman Old Style" w:cs="Bookman Old Style" w:eastAsia="Bookman Old Style" w:hAnsi="Bookman Old Style"/>
          <w:b w:val="0"/>
          <w:i w:val="0"/>
          <w:smallCaps w:val="0"/>
          <w:strike w:val="0"/>
          <w:color w:val="1d1b11"/>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d1b11"/>
          <w:sz w:val="22"/>
          <w:szCs w:val="22"/>
          <w:u w:val="none"/>
          <w:shd w:fill="auto" w:val="clear"/>
          <w:vertAlign w:val="baseline"/>
          <w:rtl w:val="0"/>
        </w:rPr>
        <w:t xml:space="preserve">              </w:t>
        <w:tab/>
        <w:tab/>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1d1b11"/>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1d1b11"/>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1d1b11"/>
          <w:sz w:val="24"/>
          <w:szCs w:val="24"/>
        </w:rPr>
      </w:pPr>
      <w:r w:rsidDel="00000000" w:rsidR="00000000" w:rsidRPr="00000000">
        <w:rPr>
          <w:rFonts w:ascii="Bookman Old Style" w:cs="Bookman Old Style" w:eastAsia="Bookman Old Style" w:hAnsi="Bookman Old Style"/>
          <w:color w:val="1d1b11"/>
          <w:sz w:val="24"/>
          <w:szCs w:val="24"/>
        </w:rPr>
        <w:drawing>
          <wp:inline distB="114300" distT="114300" distL="114300" distR="114300">
            <wp:extent cx="812800" cy="812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2800" cy="812800"/>
                    </a:xfrm>
                    <a:prstGeom prst="rect"/>
                    <a:ln/>
                  </pic:spPr>
                </pic:pic>
              </a:graphicData>
            </a:graphic>
          </wp:inline>
        </w:drawing>
      </w:r>
      <w:r w:rsidDel="00000000" w:rsidR="00000000" w:rsidRPr="00000000">
        <w:rPr>
          <w:rtl w:val="0"/>
        </w:rPr>
      </w:r>
    </w:p>
    <w:sectPr>
      <w:pgSz w:h="18711" w:w="11907" w:orient="portrait"/>
      <w:pgMar w:bottom="1418" w:top="1701"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ovi alma" w:id="1" w:date="2022-02-22T08:13:35Z">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sda</w:t>
      </w:r>
    </w:p>
  </w:comment>
  <w:comment w:author="sovi alma" w:id="0" w:date="2022-02-22T08:13:29Z">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dicantumkan pembeda pada jabatannya, misal:</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 Kebjikan Ahli Muda yang membidangi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394" w:hanging="360"/>
      </w:pPr>
      <w:rPr>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394" w:hanging="360"/>
      </w:pPr>
      <w:rPr>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54" w:hanging="358.99999999999994"/>
      </w:pPr>
      <w:rPr>
        <w:color w:val="000000"/>
        <w:vertAlign w:val="baseline"/>
      </w:rPr>
    </w:lvl>
    <w:lvl w:ilvl="1">
      <w:start w:val="1"/>
      <w:numFmt w:val="lowerLetter"/>
      <w:lvlText w:val="%2."/>
      <w:lvlJc w:val="left"/>
      <w:pPr>
        <w:ind w:left="1474" w:hanging="360"/>
      </w:pPr>
      <w:rPr>
        <w:vertAlign w:val="baseline"/>
      </w:rPr>
    </w:lvl>
    <w:lvl w:ilvl="2">
      <w:start w:val="1"/>
      <w:numFmt w:val="lowerRoman"/>
      <w:lvlText w:val="%3."/>
      <w:lvlJc w:val="right"/>
      <w:pPr>
        <w:ind w:left="2194" w:hanging="180"/>
      </w:pPr>
      <w:rPr>
        <w:vertAlign w:val="baseline"/>
      </w:rPr>
    </w:lvl>
    <w:lvl w:ilvl="3">
      <w:start w:val="1"/>
      <w:numFmt w:val="decimal"/>
      <w:lvlText w:val="%4."/>
      <w:lvlJc w:val="left"/>
      <w:pPr>
        <w:ind w:left="2914" w:hanging="360"/>
      </w:pPr>
      <w:rPr>
        <w:vertAlign w:val="baseline"/>
      </w:rPr>
    </w:lvl>
    <w:lvl w:ilvl="4">
      <w:start w:val="1"/>
      <w:numFmt w:val="lowerLetter"/>
      <w:lvlText w:val="%5."/>
      <w:lvlJc w:val="left"/>
      <w:pPr>
        <w:ind w:left="3634" w:hanging="360"/>
      </w:pPr>
      <w:rPr>
        <w:vertAlign w:val="baseline"/>
      </w:rPr>
    </w:lvl>
    <w:lvl w:ilvl="5">
      <w:start w:val="1"/>
      <w:numFmt w:val="lowerRoman"/>
      <w:lvlText w:val="%6."/>
      <w:lvlJc w:val="right"/>
      <w:pPr>
        <w:ind w:left="4354" w:hanging="180"/>
      </w:pPr>
      <w:rPr>
        <w:vertAlign w:val="baseline"/>
      </w:rPr>
    </w:lvl>
    <w:lvl w:ilvl="6">
      <w:start w:val="1"/>
      <w:numFmt w:val="decimal"/>
      <w:lvlText w:val="%7."/>
      <w:lvlJc w:val="left"/>
      <w:pPr>
        <w:ind w:left="5074" w:hanging="360"/>
      </w:pPr>
      <w:rPr>
        <w:vertAlign w:val="baseline"/>
      </w:rPr>
    </w:lvl>
    <w:lvl w:ilvl="7">
      <w:start w:val="1"/>
      <w:numFmt w:val="lowerLetter"/>
      <w:lvlText w:val="%8."/>
      <w:lvlJc w:val="left"/>
      <w:pPr>
        <w:ind w:left="5794" w:hanging="360"/>
      </w:pPr>
      <w:rPr>
        <w:vertAlign w:val="baseline"/>
      </w:rPr>
    </w:lvl>
    <w:lvl w:ilvl="8">
      <w:start w:val="1"/>
      <w:numFmt w:val="lowerRoman"/>
      <w:lvlText w:val="%9."/>
      <w:lvlJc w:val="right"/>
      <w:pPr>
        <w:ind w:left="6514"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