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92" w:rsidRDefault="005F6A92" w:rsidP="003E3F27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FFFF"/>
          <w:sz w:val="24"/>
          <w:szCs w:val="24"/>
        </w:rPr>
      </w:pPr>
      <w:bookmarkStart w:id="0" w:name="_gjdgxs" w:colFirst="0" w:colLast="0"/>
      <w:bookmarkEnd w:id="0"/>
    </w:p>
    <w:p w:rsidR="005F6A92" w:rsidRDefault="00A1472B" w:rsidP="003E3F27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FFFFFF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FFFFFF"/>
          <w:sz w:val="24"/>
          <w:szCs w:val="24"/>
        </w:rPr>
        <w:t>AWA TENGAHKEPUTUSAN SEKRETARIS DAERAH KABUP</w:t>
      </w:r>
    </w:p>
    <w:p w:rsidR="005F6A92" w:rsidRDefault="00A1472B" w:rsidP="003E3F27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FFFFFF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FFFFFF"/>
          <w:sz w:val="24"/>
          <w:szCs w:val="24"/>
        </w:rPr>
        <w:t>ATEN KARA</w:t>
      </w:r>
    </w:p>
    <w:p w:rsidR="00292D8B" w:rsidRDefault="00292D8B" w:rsidP="003E3F27">
      <w:pPr>
        <w:tabs>
          <w:tab w:val="left" w:pos="990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292D8B" w:rsidRDefault="00292D8B" w:rsidP="003E3F27">
      <w:pPr>
        <w:tabs>
          <w:tab w:val="left" w:pos="990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5F6A92" w:rsidRDefault="00A1472B" w:rsidP="003E3F27">
      <w:pPr>
        <w:tabs>
          <w:tab w:val="left" w:pos="990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KEPUTUSAN SEKRETARIS DAERAH KABUPATEN KARANGANYAR</w:t>
      </w:r>
    </w:p>
    <w:p w:rsidR="005F6A92" w:rsidRDefault="00A1472B" w:rsidP="003E3F27">
      <w:pPr>
        <w:tabs>
          <w:tab w:val="left" w:pos="990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NOMOR            TAHUN 2022</w:t>
      </w:r>
    </w:p>
    <w:p w:rsidR="005F6A92" w:rsidRDefault="00A1472B" w:rsidP="003E3F27">
      <w:pPr>
        <w:tabs>
          <w:tab w:val="left" w:pos="990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</w:p>
    <w:p w:rsidR="005F6A92" w:rsidRDefault="00A1472B" w:rsidP="003E3F27">
      <w:pPr>
        <w:tabs>
          <w:tab w:val="left" w:pos="990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PEMBENTUKAN PANITIA PENILAI ARSIP DINAMIS INAKTIF PADA</w:t>
      </w:r>
    </w:p>
    <w:p w:rsidR="005F6A92" w:rsidRDefault="00A1472B" w:rsidP="003E3F27">
      <w:pPr>
        <w:tabs>
          <w:tab w:val="left" w:pos="990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BADAN KESATUAN BANGSA DAN POLITIK KABUPATEN KARANGANYAR</w:t>
      </w:r>
    </w:p>
    <w:p w:rsidR="005F6A92" w:rsidRDefault="005F6A92" w:rsidP="003E3F27">
      <w:pPr>
        <w:tabs>
          <w:tab w:val="left" w:pos="990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5F6A92" w:rsidRDefault="00A1472B" w:rsidP="003E3F27">
      <w:pPr>
        <w:tabs>
          <w:tab w:val="left" w:pos="990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SEKRETARIS DAERAH KABUPATEN KARANGANYAR,</w:t>
      </w:r>
    </w:p>
    <w:p w:rsidR="005F6A92" w:rsidRDefault="005F6A92" w:rsidP="003E3F27">
      <w:pPr>
        <w:tabs>
          <w:tab w:val="left" w:pos="9900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"/>
        <w:tblW w:w="100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389"/>
        <w:gridCol w:w="519"/>
        <w:gridCol w:w="7370"/>
      </w:tblGrid>
      <w:tr w:rsidR="005F6A92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F6A92" w:rsidRDefault="00A1472B" w:rsidP="003E3F27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rangka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menunjang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kelancaran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penilaian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arsip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dinamis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inaktif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dibentuk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Panitia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Penilai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Arsip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Dinamis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Inaktif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2022;</w:t>
            </w:r>
          </w:p>
        </w:tc>
      </w:tr>
      <w:tr w:rsidR="005F6A92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5F6A92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5F6A92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maksud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Panitia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Penilai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Arsip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Dinamis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Inaktif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; </w:t>
            </w:r>
          </w:p>
        </w:tc>
      </w:tr>
      <w:tr w:rsidR="005F6A92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1950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Provinsi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Tengah;</w:t>
            </w:r>
          </w:p>
        </w:tc>
      </w:tr>
      <w:tr w:rsidR="005F6A92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5F6A92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5F6A92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244,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5587)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terakhir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Cipta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245,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       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6573);</w:t>
            </w:r>
          </w:p>
        </w:tc>
      </w:tr>
      <w:tr w:rsidR="005F6A92">
        <w:trPr>
          <w:trHeight w:val="128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5F6A92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5F6A92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3.</w:t>
            </w:r>
          </w:p>
          <w:p w:rsidR="005F6A92" w:rsidRDefault="005F6A92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57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Pedoman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Penyusutan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Arsip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Berita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57);</w:t>
            </w:r>
          </w:p>
          <w:p w:rsidR="005F6A92" w:rsidRDefault="00A1472B" w:rsidP="003E3F27">
            <w:pPr>
              <w:spacing w:after="0" w:line="240" w:lineRule="auto"/>
              <w:ind w:left="-612" w:hanging="4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11.</w:t>
            </w:r>
          </w:p>
        </w:tc>
      </w:tr>
      <w:tr w:rsidR="005F6A92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5F6A92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5F6A92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Pr="00376203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MEMUTUSKAN</w:t>
            </w:r>
            <w:r w:rsidR="00376203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:</w:t>
            </w:r>
          </w:p>
          <w:p w:rsidR="005F6A92" w:rsidRDefault="005F6A92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5F6A92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5F6A92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5F6A92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KESATU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  <w:p w:rsidR="005F6A92" w:rsidRDefault="005F6A92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5F6A92" w:rsidRDefault="005F6A92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5F6A92" w:rsidRDefault="005F6A92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Pr="00292D8B" w:rsidRDefault="00A1472B" w:rsidP="003E3F27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Membentuk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Panitia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Penilai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Arsip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Dinamis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Inaktif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Kesatuan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Politik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susunan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tersebut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Lampiran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yang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merupakan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bagian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tidak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terpisahkan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dari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5F6A92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KEDUA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Pr="00292D8B" w:rsidRDefault="00A1472B" w:rsidP="003E3F27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Tugas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Panitia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dimaksud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Diktum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KESATU 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adalah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  <w:p w:rsidR="005F6A92" w:rsidRPr="00292D8B" w:rsidRDefault="00A1472B" w:rsidP="003E3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8" w:hanging="312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mendeskripsikan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setiap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folder</w:t>
            </w:r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atau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naskah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sekurang-kurangnya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memuat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informasi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mengenai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jenis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kegiatan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jenis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transaksi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isi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informasi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kurun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waktu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transaksi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:</w:t>
            </w:r>
          </w:p>
          <w:p w:rsidR="005F6A92" w:rsidRPr="00292D8B" w:rsidRDefault="00A1472B" w:rsidP="003E3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8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menghimpun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kartu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deskripsi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folder</w:t>
            </w:r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atau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naskah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dari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kegiatan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sama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dalam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satu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berkas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  <w:p w:rsidR="005F6A92" w:rsidRPr="00292D8B" w:rsidRDefault="00A1472B" w:rsidP="003E3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8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lastRenderedPageBreak/>
              <w:t>menghimpun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berkas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dalam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satu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arsip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  <w:p w:rsidR="00E80044" w:rsidRPr="00831D82" w:rsidRDefault="00A1472B" w:rsidP="00E800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8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melakukan</w:t>
            </w:r>
            <w:proofErr w:type="spellEnd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penilaian</w:t>
            </w:r>
            <w:proofErr w:type="spellEnd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untuk</w:t>
            </w:r>
            <w:proofErr w:type="spellEnd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tiap</w:t>
            </w:r>
            <w:proofErr w:type="spellEnd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seri</w:t>
            </w:r>
            <w:proofErr w:type="spellEnd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baik</w:t>
            </w:r>
            <w:proofErr w:type="spellEnd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dari</w:t>
            </w:r>
            <w:proofErr w:type="spellEnd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aspek</w:t>
            </w:r>
            <w:proofErr w:type="spellEnd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fungsi</w:t>
            </w:r>
            <w:proofErr w:type="spellEnd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maupun</w:t>
            </w:r>
            <w:proofErr w:type="spellEnd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informasinya</w:t>
            </w:r>
            <w:proofErr w:type="spellEnd"/>
            <w:r w:rsidRPr="00831D82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  <w:p w:rsidR="005F6A92" w:rsidRPr="00292D8B" w:rsidRDefault="00A1472B" w:rsidP="003E3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8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mengidentifikasi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hasil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penilaian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tiap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seri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himpunan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masing-masing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setiap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penilaian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sama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dalam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4 (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empat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daftar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yaitu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  <w:p w:rsidR="005F6A92" w:rsidRPr="00292D8B" w:rsidRDefault="00A1472B" w:rsidP="003E3F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450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daftar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</w:t>
            </w:r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rsip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diusulkan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musnah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  <w:p w:rsidR="005F6A92" w:rsidRPr="00292D8B" w:rsidRDefault="00A1472B" w:rsidP="003E3F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450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daftar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arsip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musnah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  <w:p w:rsidR="005F6A92" w:rsidRPr="00292D8B" w:rsidRDefault="00A1472B" w:rsidP="003E3F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450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daftar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arsip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bernilai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guna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permanen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masih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operasional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dan</w:t>
            </w:r>
            <w:proofErr w:type="spellEnd"/>
          </w:p>
          <w:p w:rsidR="005F6A92" w:rsidRPr="00292D8B" w:rsidRDefault="00A1472B" w:rsidP="003E3F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450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daftar</w:t>
            </w:r>
            <w:proofErr w:type="spellEnd"/>
            <w:proofErr w:type="gram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bernilai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guna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permanen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sudah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tidak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operasional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sehingga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harus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diserahkan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Arsip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Nasional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Republik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Indonesia (ANRI)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atau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perangkat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daerah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yang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membidangi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kearsipan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sebagai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arsip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statis</w:t>
            </w:r>
            <w:proofErr w:type="spellEnd"/>
            <w:r w:rsidRPr="00292D8B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.</w:t>
            </w:r>
          </w:p>
        </w:tc>
      </w:tr>
      <w:tr w:rsidR="005F6A92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>KETIGA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Panitia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pelaksana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KESATU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bertanggung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jawab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.</w:t>
            </w:r>
          </w:p>
        </w:tc>
      </w:tr>
      <w:tr w:rsidR="005F6A92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KEEMPAT</w:t>
            </w:r>
          </w:p>
          <w:p w:rsidR="005F6A92" w:rsidRDefault="005F6A92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KELIMA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  <w:p w:rsidR="005F6A92" w:rsidRDefault="005F6A92" w:rsidP="003E3F27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timbul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dibebankan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Pendapatan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Daerah.</w:t>
            </w:r>
          </w:p>
          <w:p w:rsidR="005F6A92" w:rsidRDefault="00A1472B" w:rsidP="003E3F27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</w:tbl>
    <w:p w:rsidR="005F6A92" w:rsidRDefault="005F6A92" w:rsidP="003E3F27">
      <w:pPr>
        <w:tabs>
          <w:tab w:val="left" w:pos="5529"/>
        </w:tabs>
        <w:spacing w:after="0" w:line="240" w:lineRule="auto"/>
        <w:ind w:firstLine="34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F6A92" w:rsidRDefault="00A1472B" w:rsidP="003E3F27">
      <w:pPr>
        <w:tabs>
          <w:tab w:val="left" w:pos="5529"/>
        </w:tabs>
        <w:spacing w:after="0" w:line="240" w:lineRule="auto"/>
        <w:ind w:firstLine="34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Ditetapkan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Karanganyar</w:t>
      </w:r>
      <w:proofErr w:type="spellEnd"/>
    </w:p>
    <w:p w:rsidR="005F6A92" w:rsidRDefault="00A1472B" w:rsidP="003E3F27">
      <w:pPr>
        <w:tabs>
          <w:tab w:val="left" w:pos="5529"/>
        </w:tabs>
        <w:spacing w:after="0" w:line="240" w:lineRule="auto"/>
        <w:ind w:firstLine="351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pada</w:t>
      </w:r>
      <w:proofErr w:type="spellEnd"/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tanggal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1 April 2022</w:t>
      </w:r>
    </w:p>
    <w:tbl>
      <w:tblPr>
        <w:tblStyle w:val="a0"/>
        <w:tblW w:w="5051" w:type="dxa"/>
        <w:tblInd w:w="4776" w:type="dxa"/>
        <w:tblLayout w:type="fixed"/>
        <w:tblLook w:val="0000" w:firstRow="0" w:lastRow="0" w:firstColumn="0" w:lastColumn="0" w:noHBand="0" w:noVBand="0"/>
      </w:tblPr>
      <w:tblGrid>
        <w:gridCol w:w="5051"/>
      </w:tblGrid>
      <w:tr w:rsidR="005F6A92" w:rsidTr="000165E6">
        <w:tc>
          <w:tcPr>
            <w:tcW w:w="5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ind w:left="75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SEKRETARIS DAERAH </w:t>
            </w:r>
          </w:p>
        </w:tc>
      </w:tr>
      <w:tr w:rsidR="005F6A92" w:rsidTr="000165E6">
        <w:tc>
          <w:tcPr>
            <w:tcW w:w="5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ind w:left="75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 KARANGANYAR,</w:t>
            </w:r>
          </w:p>
        </w:tc>
      </w:tr>
      <w:tr w:rsidR="005F6A92" w:rsidTr="000165E6">
        <w:tc>
          <w:tcPr>
            <w:tcW w:w="5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5F6A92" w:rsidP="003E3F27">
            <w:pPr>
              <w:spacing w:after="0" w:line="240" w:lineRule="auto"/>
              <w:ind w:left="75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5F6A92" w:rsidRDefault="005F6A92" w:rsidP="003E3F27">
            <w:pPr>
              <w:spacing w:after="0" w:line="240" w:lineRule="auto"/>
              <w:ind w:left="75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5F6A92" w:rsidRDefault="005F6A92" w:rsidP="003E3F27">
            <w:pPr>
              <w:spacing w:after="0" w:line="240" w:lineRule="auto"/>
              <w:ind w:left="75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BB519B" w:rsidRDefault="00BB519B" w:rsidP="003E3F27">
            <w:pPr>
              <w:spacing w:after="0" w:line="240" w:lineRule="auto"/>
              <w:ind w:left="75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  <w:p w:rsidR="005F6A92" w:rsidRDefault="00A1472B" w:rsidP="003E3F27">
            <w:pPr>
              <w:spacing w:after="0" w:line="240" w:lineRule="auto"/>
              <w:ind w:left="75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SUTARNO</w:t>
            </w:r>
          </w:p>
        </w:tc>
      </w:tr>
    </w:tbl>
    <w:p w:rsidR="005F6A92" w:rsidRDefault="00A1472B" w:rsidP="003E3F27">
      <w:pPr>
        <w:spacing w:after="0" w:line="240" w:lineRule="auto"/>
        <w:ind w:left="5040" w:firstLine="34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</w:t>
      </w:r>
    </w:p>
    <w:tbl>
      <w:tblPr>
        <w:tblStyle w:val="a1"/>
        <w:tblW w:w="9889" w:type="dxa"/>
        <w:tblLayout w:type="fixed"/>
        <w:tblLook w:val="0000" w:firstRow="0" w:lastRow="0" w:firstColumn="0" w:lastColumn="0" w:noHBand="0" w:noVBand="0"/>
      </w:tblPr>
      <w:tblGrid>
        <w:gridCol w:w="698"/>
        <w:gridCol w:w="9191"/>
      </w:tblGrid>
      <w:tr w:rsidR="005F6A92" w:rsidTr="00BB519B">
        <w:trPr>
          <w:trHeight w:val="198"/>
        </w:trPr>
        <w:tc>
          <w:tcPr>
            <w:tcW w:w="98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Tembusan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:</w:t>
            </w:r>
          </w:p>
        </w:tc>
      </w:tr>
      <w:tr w:rsidR="005F6A92" w:rsidTr="00BB519B">
        <w:trPr>
          <w:trHeight w:val="198"/>
        </w:trPr>
        <w:tc>
          <w:tcPr>
            <w:tcW w:w="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</w:tc>
        <w:tc>
          <w:tcPr>
            <w:tcW w:w="9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Inspektur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Daerah;</w:t>
            </w:r>
          </w:p>
        </w:tc>
      </w:tr>
      <w:tr w:rsidR="005F6A92" w:rsidTr="00BB519B">
        <w:trPr>
          <w:trHeight w:val="198"/>
        </w:trPr>
        <w:tc>
          <w:tcPr>
            <w:tcW w:w="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</w:t>
            </w:r>
          </w:p>
        </w:tc>
        <w:tc>
          <w:tcPr>
            <w:tcW w:w="9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Bagian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Setda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</w:p>
        </w:tc>
      </w:tr>
      <w:tr w:rsidR="005F6A92" w:rsidTr="00BB519B">
        <w:trPr>
          <w:trHeight w:val="188"/>
        </w:trPr>
        <w:tc>
          <w:tcPr>
            <w:tcW w:w="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4</w:t>
            </w:r>
          </w:p>
        </w:tc>
        <w:tc>
          <w:tcPr>
            <w:tcW w:w="9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Dinas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Kearsipan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Perpustakaan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</w:p>
        </w:tc>
      </w:tr>
      <w:tr w:rsidR="005F6A92" w:rsidTr="00BB519B">
        <w:trPr>
          <w:trHeight w:val="390"/>
        </w:trPr>
        <w:tc>
          <w:tcPr>
            <w:tcW w:w="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5.</w:t>
            </w:r>
          </w:p>
        </w:tc>
        <w:tc>
          <w:tcPr>
            <w:tcW w:w="9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Pr="00BB519B" w:rsidRDefault="00A1472B" w:rsidP="00376203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Pegawai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XSpec="right" w:tblpY="77"/>
        <w:tblW w:w="47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37"/>
        <w:gridCol w:w="1165"/>
      </w:tblGrid>
      <w:tr w:rsidR="00376203" w:rsidRPr="00376203" w:rsidTr="00376203">
        <w:trPr>
          <w:trHeight w:val="454"/>
        </w:trPr>
        <w:tc>
          <w:tcPr>
            <w:tcW w:w="4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03" w:rsidRPr="00376203" w:rsidRDefault="00376203" w:rsidP="00376203">
            <w:pPr>
              <w:spacing w:after="200" w:line="276" w:lineRule="auto"/>
              <w:ind w:right="-118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37620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proofErr w:type="spellEnd"/>
            <w:r w:rsidRPr="0037620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Di </w:t>
            </w:r>
            <w:proofErr w:type="spellStart"/>
            <w:r w:rsidRPr="0037620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koordinasikan</w:t>
            </w:r>
            <w:proofErr w:type="spellEnd"/>
            <w:r w:rsidRPr="0037620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</w:tc>
      </w:tr>
      <w:tr w:rsidR="00376203" w:rsidRPr="00376203" w:rsidTr="00376203">
        <w:trPr>
          <w:trHeight w:val="454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03" w:rsidRPr="00376203" w:rsidRDefault="00376203" w:rsidP="00376203">
            <w:pPr>
              <w:spacing w:after="200" w:line="276" w:lineRule="auto"/>
              <w:ind w:right="-118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37620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Pejabat</w:t>
            </w:r>
            <w:proofErr w:type="spell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03" w:rsidRPr="00376203" w:rsidRDefault="00376203" w:rsidP="00376203">
            <w:pPr>
              <w:spacing w:after="200" w:line="276" w:lineRule="auto"/>
              <w:ind w:right="-118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37620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Paraf</w:t>
            </w:r>
            <w:proofErr w:type="spellEnd"/>
          </w:p>
        </w:tc>
      </w:tr>
      <w:tr w:rsidR="00376203" w:rsidRPr="00376203" w:rsidTr="00376203">
        <w:trPr>
          <w:trHeight w:val="454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03" w:rsidRPr="00376203" w:rsidRDefault="00376203" w:rsidP="003762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right="-118" w:hanging="284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Asisten</w:t>
            </w:r>
            <w:proofErr w:type="spellEnd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Pemerintahan</w:t>
            </w:r>
            <w:proofErr w:type="spellEnd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dan</w:t>
            </w:r>
            <w:proofErr w:type="spellEnd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Kesra</w:t>
            </w:r>
            <w:proofErr w:type="spell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03" w:rsidRPr="00376203" w:rsidRDefault="00376203" w:rsidP="00376203">
            <w:pPr>
              <w:spacing w:after="200" w:line="276" w:lineRule="auto"/>
              <w:ind w:right="-11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376203" w:rsidRPr="00376203" w:rsidTr="00376203">
        <w:trPr>
          <w:trHeight w:val="454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03" w:rsidRPr="00376203" w:rsidRDefault="00376203" w:rsidP="003762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right="-118" w:hanging="284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Kepala</w:t>
            </w:r>
            <w:proofErr w:type="spellEnd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Badan</w:t>
            </w:r>
            <w:proofErr w:type="spellEnd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Kesbangpol</w:t>
            </w:r>
            <w:proofErr w:type="spell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03" w:rsidRPr="00376203" w:rsidRDefault="00376203" w:rsidP="00376203">
            <w:pPr>
              <w:spacing w:after="200" w:line="276" w:lineRule="auto"/>
              <w:ind w:right="-11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:rsidR="005F6A92" w:rsidRDefault="00376203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>
        <w:rPr>
          <w:rFonts w:ascii="Bookman Old Style" w:eastAsia="Bookman Old Style" w:hAnsi="Bookman Old Style" w:cs="Bookman Old Style"/>
          <w:noProof/>
          <w:sz w:val="24"/>
          <w:szCs w:val="24"/>
          <w:lang w:val="id-ID"/>
        </w:rPr>
        <w:drawing>
          <wp:anchor distT="0" distB="0" distL="114300" distR="114300" simplePos="0" relativeHeight="251658240" behindDoc="0" locked="0" layoutInCell="1" allowOverlap="1" wp14:anchorId="09FA09D5" wp14:editId="5857EBA5">
            <wp:simplePos x="0" y="0"/>
            <wp:positionH relativeFrom="column">
              <wp:posOffset>2403475</wp:posOffset>
            </wp:positionH>
            <wp:positionV relativeFrom="paragraph">
              <wp:posOffset>73660</wp:posOffset>
            </wp:positionV>
            <wp:extent cx="812800" cy="812800"/>
            <wp:effectExtent l="0" t="0" r="6350" b="635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8E9" w:rsidRDefault="00B228E9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B228E9" w:rsidRDefault="00B228E9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B228E9" w:rsidRDefault="00B228E9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B228E9" w:rsidRDefault="00B228E9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B228E9" w:rsidRDefault="00B228E9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376203" w:rsidRDefault="00376203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376203" w:rsidRDefault="00376203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376203" w:rsidRDefault="00376203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376203" w:rsidRPr="00B228E9" w:rsidRDefault="00376203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5F6A92" w:rsidRDefault="005F6A92" w:rsidP="003E3F27">
      <w:pPr>
        <w:tabs>
          <w:tab w:val="left" w:pos="5529"/>
          <w:tab w:val="center" w:pos="7513"/>
        </w:tabs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F6A92" w:rsidRDefault="005F6A92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5F6A92" w:rsidRDefault="005F6A92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376203" w:rsidRDefault="00376203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376203" w:rsidRPr="00376203" w:rsidRDefault="00376203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5F6A92" w:rsidRDefault="005F6A92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2"/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5F6A92" w:rsidTr="003E3F27">
        <w:tc>
          <w:tcPr>
            <w:tcW w:w="10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82" w:rsidRDefault="00831D82" w:rsidP="003E3F27">
            <w:pPr>
              <w:spacing w:after="0" w:line="240" w:lineRule="auto"/>
              <w:ind w:left="4678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  <w:p w:rsidR="005F6A92" w:rsidRDefault="00A1472B" w:rsidP="003E3F27">
            <w:pPr>
              <w:spacing w:after="0" w:line="240" w:lineRule="auto"/>
              <w:ind w:left="467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LAMPIRAN</w:t>
            </w:r>
          </w:p>
          <w:p w:rsidR="003E3F27" w:rsidRDefault="00A1472B" w:rsidP="003E3F27">
            <w:pPr>
              <w:spacing w:after="0" w:line="240" w:lineRule="auto"/>
              <w:ind w:left="4678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 SEKRETARIS DAERAH KABUPATEN KARANGANYAR</w:t>
            </w:r>
            <w:r w:rsidR="003E3F27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</w:t>
            </w:r>
          </w:p>
          <w:p w:rsidR="005F6A92" w:rsidRPr="003E3F27" w:rsidRDefault="003E3F27" w:rsidP="003E3F27">
            <w:pPr>
              <w:spacing w:after="0" w:line="240" w:lineRule="auto"/>
              <w:ind w:left="4678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900/       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  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TAHUN 2022</w:t>
            </w:r>
          </w:p>
        </w:tc>
      </w:tr>
      <w:tr w:rsidR="005F6A92" w:rsidTr="003E3F27">
        <w:tc>
          <w:tcPr>
            <w:tcW w:w="10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7" w:rsidRDefault="00A1472B" w:rsidP="003E3F27">
            <w:pPr>
              <w:spacing w:after="0" w:line="240" w:lineRule="auto"/>
              <w:ind w:left="467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commentReference w:id="1"/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TENTANG </w:t>
            </w:r>
          </w:p>
          <w:p w:rsidR="005F6A92" w:rsidRDefault="00A1472B" w:rsidP="003E3F27">
            <w:pPr>
              <w:spacing w:after="0" w:line="240" w:lineRule="auto"/>
              <w:ind w:left="467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PEMBENTUKAN </w:t>
            </w:r>
            <w:r w:rsidR="003E3F27" w:rsidRPr="000165E6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PANITIA PENILAI ARSIP DINAMIS INAKTIF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PADA BADAN KESATUAN BANGSA DAN POLITIK KABUPATEN KARANGANYAR</w:t>
            </w:r>
          </w:p>
        </w:tc>
      </w:tr>
    </w:tbl>
    <w:p w:rsidR="003E3F27" w:rsidRDefault="003E3F27" w:rsidP="003E3F27">
      <w:pPr>
        <w:spacing w:after="0" w:line="240" w:lineRule="auto"/>
        <w:ind w:left="4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0165E6" w:rsidRPr="000165E6" w:rsidRDefault="00A1472B" w:rsidP="003E3F27">
      <w:pPr>
        <w:spacing w:after="0" w:line="240" w:lineRule="auto"/>
        <w:ind w:left="4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commentRangeStart w:id="2"/>
      <w:r>
        <w:rPr>
          <w:rFonts w:ascii="Bookman Old Style" w:eastAsia="Bookman Old Style" w:hAnsi="Bookman Old Style" w:cs="Bookman Old Style"/>
          <w:sz w:val="24"/>
          <w:szCs w:val="24"/>
        </w:rPr>
        <w:t xml:space="preserve">SUSUNAN </w:t>
      </w:r>
      <w:r w:rsidR="000165E6" w:rsidRPr="000165E6">
        <w:rPr>
          <w:rFonts w:ascii="Bookman Old Style" w:eastAsia="Bookman Old Style" w:hAnsi="Bookman Old Style" w:cs="Bookman Old Style"/>
          <w:sz w:val="24"/>
          <w:szCs w:val="24"/>
        </w:rPr>
        <w:t>PANITIA PENILAI ARSIP DINAMIS INAKTIF PADA</w:t>
      </w:r>
    </w:p>
    <w:p w:rsidR="005F6A92" w:rsidRDefault="000165E6" w:rsidP="003E3F27">
      <w:pPr>
        <w:spacing w:after="0" w:line="240" w:lineRule="auto"/>
        <w:ind w:left="4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0165E6">
        <w:rPr>
          <w:rFonts w:ascii="Bookman Old Style" w:eastAsia="Bookman Old Style" w:hAnsi="Bookman Old Style" w:cs="Bookman Old Style"/>
          <w:sz w:val="24"/>
          <w:szCs w:val="24"/>
        </w:rPr>
        <w:t xml:space="preserve"> BADAN KESATUAN BANGSA DAN POLITIK KABUPATEN KARANGANYAR</w:t>
      </w:r>
    </w:p>
    <w:p w:rsidR="005F6A92" w:rsidRDefault="00A1472B" w:rsidP="003E3F27">
      <w:pPr>
        <w:spacing w:after="0" w:line="240" w:lineRule="auto"/>
        <w:ind w:left="4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KABUPATEN KARANGANYAR TAHUN ANGGARAN 2022</w:t>
      </w:r>
      <w:commentRangeEnd w:id="2"/>
      <w:r>
        <w:commentReference w:id="2"/>
      </w:r>
    </w:p>
    <w:tbl>
      <w:tblPr>
        <w:tblStyle w:val="a3"/>
        <w:tblW w:w="9932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4408"/>
        <w:gridCol w:w="3195"/>
        <w:gridCol w:w="1747"/>
      </w:tblGrid>
      <w:tr w:rsidR="005F6A92">
        <w:trPr>
          <w:trHeight w:val="55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NO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JABATAN DALAM DINAS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</w:rPr>
              <w:t>KEDUDUKAN</w:t>
            </w:r>
          </w:p>
        </w:tc>
      </w:tr>
      <w:tr w:rsidR="005F6A92">
        <w:trPr>
          <w:trHeight w:val="26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4</w:t>
            </w:r>
          </w:p>
        </w:tc>
      </w:tr>
      <w:tr w:rsidR="005F6A92">
        <w:trPr>
          <w:trHeight w:val="26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highlight w:val="cyan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Bambang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Sutarmanto,S.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Sos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.,M.M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highlight w:val="cyan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Ketua</w:t>
            </w:r>
            <w:proofErr w:type="spellEnd"/>
          </w:p>
          <w:p w:rsidR="005F6A92" w:rsidRDefault="005F6A92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5F6A92">
        <w:trPr>
          <w:trHeight w:val="66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Tyas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Ngambar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Widyowati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, S.H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</w:t>
            </w:r>
            <w:proofErr w:type="spellEnd"/>
          </w:p>
          <w:p w:rsidR="005F6A92" w:rsidRDefault="005F6A92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Sekretaris</w:t>
            </w:r>
            <w:proofErr w:type="spellEnd"/>
          </w:p>
        </w:tc>
      </w:tr>
      <w:tr w:rsidR="005F6A92">
        <w:trPr>
          <w:trHeight w:val="94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Janto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Ari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Kuncoro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, S.H., M.M.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Kasubbag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Umum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Kepegawaian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  <w:p w:rsidR="005F6A92" w:rsidRDefault="005F6A92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5F6A92">
        <w:trPr>
          <w:trHeight w:val="26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4.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Sulasmi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, S.I.P.</w:t>
            </w:r>
          </w:p>
          <w:p w:rsidR="005F6A92" w:rsidRDefault="005F6A92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Arsiparis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Madya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5F6A92">
        <w:trPr>
          <w:trHeight w:val="26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Haris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Wahadi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, S.H</w:t>
            </w:r>
          </w:p>
          <w:p w:rsidR="005F6A92" w:rsidRDefault="005F6A92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Perancang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Ahli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Muda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5F6A92">
        <w:trPr>
          <w:trHeight w:val="26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6.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Henrizal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Kharisma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Arif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S.Kom</w:t>
            </w:r>
            <w:proofErr w:type="spellEnd"/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5F6A92">
        <w:trPr>
          <w:trHeight w:val="26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7.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Wedha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Sigmawati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S.Sos</w:t>
            </w:r>
            <w:proofErr w:type="spellEnd"/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bookmarkStart w:id="3" w:name="_30j0zll" w:colFirst="0" w:colLast="0"/>
            <w:bookmarkEnd w:id="3"/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Pengawas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Masyarakat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92" w:rsidRDefault="00A1472B" w:rsidP="003E3F2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</w:tbl>
    <w:p w:rsidR="005F6A92" w:rsidRDefault="005F6A92" w:rsidP="003E3F27">
      <w:pPr>
        <w:spacing w:after="0" w:line="240" w:lineRule="auto"/>
        <w:ind w:left="43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F6A92" w:rsidRDefault="00A1472B" w:rsidP="003E3F27">
      <w:pPr>
        <w:spacing w:after="0" w:line="240" w:lineRule="auto"/>
        <w:ind w:left="50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SEKRETARIS DAERAH</w:t>
      </w:r>
    </w:p>
    <w:p w:rsidR="005F6A92" w:rsidRDefault="00A1472B" w:rsidP="003E3F27">
      <w:pPr>
        <w:spacing w:after="0" w:line="240" w:lineRule="auto"/>
        <w:ind w:left="50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KABUPATEN KARANGANYAR</w:t>
      </w:r>
    </w:p>
    <w:p w:rsidR="005F6A92" w:rsidRDefault="005F6A92" w:rsidP="003E3F27">
      <w:pPr>
        <w:spacing w:after="0" w:line="240" w:lineRule="auto"/>
        <w:ind w:left="50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F6A92" w:rsidRDefault="005F6A92" w:rsidP="003E3F27">
      <w:pPr>
        <w:spacing w:after="0" w:line="240" w:lineRule="auto"/>
        <w:ind w:left="50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BB519B" w:rsidRDefault="00BB519B" w:rsidP="003E3F27">
      <w:pPr>
        <w:spacing w:after="0" w:line="240" w:lineRule="auto"/>
        <w:ind w:left="5060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:rsidR="005F6A92" w:rsidRDefault="00A1472B" w:rsidP="003E3F27">
      <w:pPr>
        <w:spacing w:after="0" w:line="240" w:lineRule="auto"/>
        <w:ind w:left="50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SUTARNO</w:t>
      </w:r>
    </w:p>
    <w:p w:rsidR="00C54AF8" w:rsidRPr="00C54AF8" w:rsidRDefault="00C54AF8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</w:p>
    <w:tbl>
      <w:tblPr>
        <w:tblpPr w:leftFromText="180" w:rightFromText="180" w:vertAnchor="text" w:horzAnchor="margin" w:tblpXSpec="right" w:tblpY="77"/>
        <w:tblW w:w="50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55"/>
        <w:gridCol w:w="1165"/>
      </w:tblGrid>
      <w:tr w:rsidR="00C54AF8" w:rsidRPr="00376203" w:rsidTr="00C54AF8">
        <w:trPr>
          <w:trHeight w:val="454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AF8" w:rsidRPr="00376203" w:rsidRDefault="00C54AF8" w:rsidP="00C70F3F">
            <w:pPr>
              <w:spacing w:after="200" w:line="276" w:lineRule="auto"/>
              <w:ind w:right="-118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bookmarkStart w:id="4" w:name="_GoBack" w:colFirst="0" w:colLast="1"/>
            <w:proofErr w:type="spellStart"/>
            <w:r w:rsidRPr="0037620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proofErr w:type="spellEnd"/>
            <w:r w:rsidRPr="0037620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Di </w:t>
            </w:r>
            <w:proofErr w:type="spellStart"/>
            <w:r w:rsidRPr="0037620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koordinasikan</w:t>
            </w:r>
            <w:proofErr w:type="spellEnd"/>
            <w:r w:rsidRPr="0037620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</w:tc>
      </w:tr>
      <w:tr w:rsidR="00C54AF8" w:rsidRPr="00376203" w:rsidTr="00C54AF8">
        <w:trPr>
          <w:trHeight w:val="454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AF8" w:rsidRPr="00376203" w:rsidRDefault="00C54AF8" w:rsidP="00C70F3F">
            <w:pPr>
              <w:spacing w:after="200" w:line="276" w:lineRule="auto"/>
              <w:ind w:right="-118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37620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Pejabat</w:t>
            </w:r>
            <w:proofErr w:type="spell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AF8" w:rsidRPr="00376203" w:rsidRDefault="00C54AF8" w:rsidP="00C70F3F">
            <w:pPr>
              <w:spacing w:after="200" w:line="276" w:lineRule="auto"/>
              <w:ind w:right="-118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37620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Paraf</w:t>
            </w:r>
            <w:proofErr w:type="spellEnd"/>
          </w:p>
        </w:tc>
      </w:tr>
      <w:tr w:rsidR="00C54AF8" w:rsidRPr="00376203" w:rsidTr="00C54AF8">
        <w:trPr>
          <w:trHeight w:val="454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AF8" w:rsidRPr="00376203" w:rsidRDefault="00C54AF8" w:rsidP="00C54AF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right="-118" w:hanging="284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Asisten</w:t>
            </w:r>
            <w:proofErr w:type="spellEnd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Pemerintahan</w:t>
            </w:r>
            <w:proofErr w:type="spellEnd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dan</w:t>
            </w:r>
            <w:proofErr w:type="spellEnd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Kesra</w:t>
            </w:r>
            <w:proofErr w:type="spell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AF8" w:rsidRPr="00376203" w:rsidRDefault="00C54AF8" w:rsidP="00C70F3F">
            <w:pPr>
              <w:spacing w:after="200" w:line="276" w:lineRule="auto"/>
              <w:ind w:right="-11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C54AF8" w:rsidRPr="00376203" w:rsidTr="00C54AF8">
        <w:trPr>
          <w:trHeight w:val="454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AF8" w:rsidRPr="00376203" w:rsidRDefault="00C54AF8" w:rsidP="00C54AF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right="-118" w:hanging="284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Kepala</w:t>
            </w:r>
            <w:proofErr w:type="spellEnd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Badan</w:t>
            </w:r>
            <w:proofErr w:type="spellEnd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0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Kesbangpol</w:t>
            </w:r>
            <w:proofErr w:type="spell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AF8" w:rsidRPr="00376203" w:rsidRDefault="00C54AF8" w:rsidP="00C70F3F">
            <w:pPr>
              <w:spacing w:after="200" w:line="276" w:lineRule="auto"/>
              <w:ind w:right="-11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bookmarkEnd w:id="4"/>
    <w:p w:rsidR="005F6A92" w:rsidRPr="00C54AF8" w:rsidRDefault="00C54AF8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>
        <w:rPr>
          <w:rFonts w:ascii="Bookman Old Style" w:eastAsia="Bookman Old Style" w:hAnsi="Bookman Old Style" w:cs="Bookman Old Style"/>
          <w:noProof/>
          <w:sz w:val="24"/>
          <w:szCs w:val="24"/>
          <w:lang w:val="id-ID"/>
        </w:rPr>
        <w:drawing>
          <wp:anchor distT="0" distB="0" distL="114300" distR="114300" simplePos="0" relativeHeight="251659264" behindDoc="0" locked="0" layoutInCell="1" allowOverlap="1" wp14:anchorId="55F86D58" wp14:editId="3687B564">
            <wp:simplePos x="0" y="0"/>
            <wp:positionH relativeFrom="column">
              <wp:posOffset>2186305</wp:posOffset>
            </wp:positionH>
            <wp:positionV relativeFrom="paragraph">
              <wp:posOffset>62230</wp:posOffset>
            </wp:positionV>
            <wp:extent cx="812800" cy="812800"/>
            <wp:effectExtent l="0" t="0" r="6350" b="635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A92" w:rsidRDefault="005F6A92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5F6A92" w:rsidRDefault="005F6A92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5F6A92" w:rsidRDefault="005F6A92" w:rsidP="003E3F27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  <w:sectPr w:rsidR="005F6A92" w:rsidSect="00831D82">
          <w:pgSz w:w="11907" w:h="18711" w:code="5"/>
          <w:pgMar w:top="1134" w:right="936" w:bottom="2665" w:left="1015" w:header="720" w:footer="720" w:gutter="0"/>
          <w:pgNumType w:start="1"/>
          <w:cols w:space="720"/>
        </w:sectPr>
      </w:pPr>
    </w:p>
    <w:p w:rsidR="005F6A92" w:rsidRDefault="005F6A92" w:rsidP="00292D8B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sectPr w:rsidR="005F6A92">
      <w:pgSz w:w="20160" w:h="12242" w:orient="landscape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ovi alma" w:date="2022-04-11T01:54:00Z" w:initials="">
    <w:p w:rsidR="005F6A92" w:rsidRDefault="00A147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color w:val="000000"/>
        </w:rPr>
        <w:t>judul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lampiran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disesuaikan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judul</w:t>
      </w:r>
      <w:proofErr w:type="spellEnd"/>
      <w:r>
        <w:rPr>
          <w:rFonts w:ascii="Arial" w:eastAsia="Arial" w:hAnsi="Arial" w:cs="Arial"/>
          <w:color w:val="000000"/>
        </w:rPr>
        <w:t xml:space="preserve"> SK</w:t>
      </w:r>
    </w:p>
  </w:comment>
  <w:comment w:id="2" w:author="sovi alma" w:date="2022-04-11T01:54:00Z" w:initials="">
    <w:p w:rsidR="005F6A92" w:rsidRDefault="00A147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color w:val="000000"/>
        </w:rPr>
        <w:t>disesuaikan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judul</w:t>
      </w:r>
      <w:proofErr w:type="spellEnd"/>
      <w:r>
        <w:rPr>
          <w:rFonts w:ascii="Arial" w:eastAsia="Arial" w:hAnsi="Arial" w:cs="Arial"/>
          <w:color w:val="000000"/>
        </w:rPr>
        <w:t xml:space="preserve"> SK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0E0"/>
    <w:multiLevelType w:val="multilevel"/>
    <w:tmpl w:val="DF36D944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625187"/>
    <w:multiLevelType w:val="hybridMultilevel"/>
    <w:tmpl w:val="F5C06F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B3369"/>
    <w:multiLevelType w:val="multilevel"/>
    <w:tmpl w:val="FA04330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A5237B"/>
    <w:multiLevelType w:val="multilevel"/>
    <w:tmpl w:val="C366C5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nsid w:val="5E187823"/>
    <w:multiLevelType w:val="multilevel"/>
    <w:tmpl w:val="380C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70957"/>
    <w:multiLevelType w:val="multilevel"/>
    <w:tmpl w:val="380C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F6A92"/>
    <w:rsid w:val="000165E6"/>
    <w:rsid w:val="00292D8B"/>
    <w:rsid w:val="00376203"/>
    <w:rsid w:val="003E3F27"/>
    <w:rsid w:val="005F6A92"/>
    <w:rsid w:val="00831D82"/>
    <w:rsid w:val="00A1472B"/>
    <w:rsid w:val="00B228E9"/>
    <w:rsid w:val="00BB519B"/>
    <w:rsid w:val="00BF71CD"/>
    <w:rsid w:val="00C54AF8"/>
    <w:rsid w:val="00E8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5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2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5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5A39-034A-4CF6-8D61-2CB35ECF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2022-04-19T06:25:00Z</cp:lastPrinted>
  <dcterms:created xsi:type="dcterms:W3CDTF">2022-04-14T01:15:00Z</dcterms:created>
  <dcterms:modified xsi:type="dcterms:W3CDTF">2022-04-19T06:26:00Z</dcterms:modified>
</cp:coreProperties>
</file>