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BF" w:rsidRDefault="002247BF">
      <w:pPr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jdgxs" w:colFirst="0" w:colLast="0"/>
      <w:bookmarkEnd w:id="0"/>
    </w:p>
    <w:p w:rsidR="002247BF" w:rsidRDefault="002247B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tabs>
          <w:tab w:val="left" w:pos="728"/>
        </w:tabs>
        <w:spacing w:before="120"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tabs>
          <w:tab w:val="left" w:pos="728"/>
        </w:tabs>
        <w:spacing w:before="120"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before="240"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KEPUTUSAN BUPATI KARANGANYAR</w:t>
      </w:r>
    </w:p>
    <w:p w:rsidR="002247BF" w:rsidRDefault="00926E0B">
      <w:pPr>
        <w:spacing w:before="120" w:after="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NOMOR  900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/          /TAHUN 2022</w:t>
      </w:r>
    </w:p>
    <w:p w:rsidR="002247BF" w:rsidRDefault="00926E0B">
      <w:pPr>
        <w:spacing w:before="120" w:after="120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:rsidR="002247BF" w:rsidRDefault="00926E0B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PENETAPAN PENERIMA HIBAH KEPADA KELOMPOK MASYARAKAT </w:t>
      </w:r>
    </w:p>
    <w:p w:rsidR="002247BF" w:rsidRDefault="00926E0B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TAHUN ANGGARAN 2022</w:t>
      </w:r>
    </w:p>
    <w:p w:rsidR="002247BF" w:rsidRDefault="002247BF">
      <w:pPr>
        <w:spacing w:after="0" w:line="22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22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BUPATI KARANGANYAR,</w:t>
      </w:r>
    </w:p>
    <w:p w:rsidR="002247BF" w:rsidRDefault="002247BF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"/>
        <w:tblW w:w="98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  <w:gridCol w:w="7593"/>
      </w:tblGrid>
      <w:tr w:rsidR="002247BF">
        <w:tc>
          <w:tcPr>
            <w:tcW w:w="1696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Membaca</w:t>
            </w:r>
            <w:proofErr w:type="spellEnd"/>
          </w:p>
        </w:tc>
        <w:tc>
          <w:tcPr>
            <w:tcW w:w="567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93" w:type="dxa"/>
          </w:tcPr>
          <w:p w:rsidR="002247BF" w:rsidRDefault="00926E0B">
            <w:pPr>
              <w:numPr>
                <w:ilvl w:val="0"/>
                <w:numId w:val="7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900/</w:t>
            </w:r>
            <w:r w:rsidR="00157F1A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1192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.23/ X / 2021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Oktober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Perihal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; </w:t>
            </w:r>
          </w:p>
          <w:p w:rsidR="002247BF" w:rsidRDefault="00926E0B" w:rsidP="00157F1A">
            <w:pPr>
              <w:numPr>
                <w:ilvl w:val="0"/>
                <w:numId w:val="7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900/</w:t>
            </w:r>
            <w:r w:rsidR="00157F1A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6.903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.23 / X /2021   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Oktober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Perihal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</w:tc>
      </w:tr>
      <w:tr w:rsidR="002247BF">
        <w:tc>
          <w:tcPr>
            <w:tcW w:w="1696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567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93" w:type="dxa"/>
          </w:tcPr>
          <w:p w:rsidR="002247BF" w:rsidRDefault="00926E0B">
            <w:pPr>
              <w:numPr>
                <w:ilvl w:val="0"/>
                <w:numId w:val="4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ketertiban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kelancaran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Penyaluran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2022;</w:t>
            </w:r>
          </w:p>
          <w:p w:rsidR="002247BF" w:rsidRDefault="00926E0B">
            <w:pPr>
              <w:numPr>
                <w:ilvl w:val="0"/>
                <w:numId w:val="4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2022;</w:t>
            </w:r>
          </w:p>
        </w:tc>
      </w:tr>
      <w:tr w:rsidR="002247BF">
        <w:tc>
          <w:tcPr>
            <w:tcW w:w="1696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567" w:type="dxa"/>
          </w:tcPr>
          <w:p w:rsidR="002247BF" w:rsidRDefault="00926E0B">
            <w:p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93" w:type="dxa"/>
          </w:tcPr>
          <w:p w:rsidR="002247BF" w:rsidRDefault="00926E0B">
            <w:pPr>
              <w:numPr>
                <w:ilvl w:val="0"/>
                <w:numId w:val="2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Tengah; </w:t>
            </w:r>
          </w:p>
          <w:p w:rsidR="00BF2CBB" w:rsidRPr="00813F2B" w:rsidRDefault="00BF2CBB" w:rsidP="00BF2CBB">
            <w:pPr>
              <w:numPr>
                <w:ilvl w:val="0"/>
                <w:numId w:val="2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5587),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(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BF2CB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6573);</w:t>
            </w:r>
          </w:p>
          <w:p w:rsidR="00813F2B" w:rsidRPr="00244EFE" w:rsidRDefault="00813F2B" w:rsidP="00157F1A">
            <w:pPr>
              <w:numPr>
                <w:ilvl w:val="0"/>
                <w:numId w:val="2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32"/>
                <w:szCs w:val="24"/>
              </w:rPr>
            </w:pPr>
            <w:proofErr w:type="spellStart"/>
            <w:r w:rsidRPr="00244EFE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Peraturan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Menteri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Dalam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Negeri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Nomor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77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Tahun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2020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tentang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Pedoman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Teknis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Pengelolaan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Keuangan</w:t>
            </w:r>
            <w:proofErr w:type="spellEnd"/>
            <w:r w:rsidRPr="00244EFE">
              <w:rPr>
                <w:rFonts w:ascii="Bookman Old Style" w:eastAsia="Bookman Old Style" w:hAnsi="Bookman Old Style" w:cs="Bookman Old Style"/>
                <w:sz w:val="24"/>
              </w:rPr>
              <w:t>;</w:t>
            </w:r>
          </w:p>
          <w:p w:rsidR="002247BF" w:rsidRDefault="00926E0B">
            <w:pPr>
              <w:numPr>
                <w:ilvl w:val="0"/>
                <w:numId w:val="2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10,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88);</w:t>
            </w:r>
          </w:p>
          <w:p w:rsidR="002247BF" w:rsidRDefault="00926E0B">
            <w:pPr>
              <w:numPr>
                <w:ilvl w:val="0"/>
                <w:numId w:val="2"/>
              </w:numPr>
              <w:spacing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Pelaporan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Pertanggungjawaban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Monotoring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Bersumber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Daerah; </w:t>
            </w:r>
          </w:p>
        </w:tc>
      </w:tr>
    </w:tbl>
    <w:p w:rsidR="002247BF" w:rsidRDefault="002247BF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14"/>
          <w:szCs w:val="14"/>
        </w:rPr>
      </w:pPr>
    </w:p>
    <w:p w:rsidR="002247BF" w:rsidRDefault="00926E0B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MEMUTUSKAN :</w:t>
      </w:r>
      <w:proofErr w:type="gramEnd"/>
    </w:p>
    <w:tbl>
      <w:tblPr>
        <w:tblStyle w:val="a0"/>
        <w:tblW w:w="9639" w:type="dxa"/>
        <w:tblLayout w:type="fixed"/>
        <w:tblLook w:val="0000" w:firstRow="0" w:lastRow="0" w:firstColumn="0" w:lastColumn="0" w:noHBand="0" w:noVBand="0"/>
      </w:tblPr>
      <w:tblGrid>
        <w:gridCol w:w="1773"/>
        <w:gridCol w:w="13"/>
        <w:gridCol w:w="280"/>
        <w:gridCol w:w="13"/>
        <w:gridCol w:w="7560"/>
      </w:tblGrid>
      <w:tr w:rsidR="002247BF">
        <w:tc>
          <w:tcPr>
            <w:tcW w:w="1786" w:type="dxa"/>
            <w:gridSpan w:val="2"/>
          </w:tcPr>
          <w:p w:rsidR="002247BF" w:rsidRDefault="00926E0B">
            <w:pPr>
              <w:spacing w:after="0" w:line="340" w:lineRule="auto"/>
              <w:ind w:right="-11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  <w:gridSpan w:val="2"/>
          </w:tcPr>
          <w:p w:rsidR="002247BF" w:rsidRDefault="00926E0B">
            <w:pPr>
              <w:spacing w:after="0" w:line="34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2247BF" w:rsidRDefault="002247BF">
            <w:pPr>
              <w:spacing w:after="0" w:line="34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2247BF" w:rsidRDefault="002247BF">
            <w:pPr>
              <w:spacing w:after="0" w:line="34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2247BF">
        <w:tc>
          <w:tcPr>
            <w:tcW w:w="1786" w:type="dxa"/>
            <w:gridSpan w:val="2"/>
          </w:tcPr>
          <w:p w:rsidR="002247BF" w:rsidRDefault="00926E0B">
            <w:pPr>
              <w:spacing w:after="0" w:line="340" w:lineRule="auto"/>
              <w:ind w:right="-11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  <w:gridSpan w:val="2"/>
          </w:tcPr>
          <w:p w:rsidR="002247BF" w:rsidRDefault="00926E0B">
            <w:pPr>
              <w:spacing w:after="0" w:line="34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2247BF" w:rsidRDefault="00926E0B">
            <w:pPr>
              <w:spacing w:after="0" w:line="34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</w:p>
        </w:tc>
      </w:tr>
      <w:tr w:rsidR="002247BF">
        <w:tc>
          <w:tcPr>
            <w:tcW w:w="1786" w:type="dxa"/>
            <w:gridSpan w:val="2"/>
          </w:tcPr>
          <w:p w:rsidR="002247BF" w:rsidRDefault="00926E0B">
            <w:pPr>
              <w:spacing w:before="120" w:after="0" w:line="360" w:lineRule="auto"/>
              <w:ind w:right="-11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KEDUA</w:t>
            </w:r>
          </w:p>
        </w:tc>
        <w:tc>
          <w:tcPr>
            <w:tcW w:w="293" w:type="dxa"/>
            <w:gridSpan w:val="2"/>
          </w:tcPr>
          <w:p w:rsidR="002247BF" w:rsidRDefault="00926E0B">
            <w:pPr>
              <w:spacing w:before="120" w:after="0" w:line="36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2247BF" w:rsidRDefault="00926E0B">
            <w:pPr>
              <w:spacing w:before="120" w:after="0"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agar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segera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memanfaatkan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peruntukannya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mengembangkan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mengoptimalkan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hasilnya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swadaya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2247BF">
        <w:tc>
          <w:tcPr>
            <w:tcW w:w="1786" w:type="dxa"/>
            <w:gridSpan w:val="2"/>
          </w:tcPr>
          <w:p w:rsidR="002247BF" w:rsidRDefault="00926E0B">
            <w:pPr>
              <w:spacing w:before="120" w:after="0" w:line="360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KETIGA</w:t>
            </w:r>
          </w:p>
        </w:tc>
        <w:tc>
          <w:tcPr>
            <w:tcW w:w="293" w:type="dxa"/>
            <w:gridSpan w:val="2"/>
          </w:tcPr>
          <w:p w:rsidR="002247BF" w:rsidRDefault="00926E0B">
            <w:pPr>
              <w:spacing w:before="120" w:after="0" w:line="360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2247BF" w:rsidRDefault="00926E0B">
            <w:pPr>
              <w:spacing w:before="120" w:after="0" w:line="360" w:lineRule="auto"/>
              <w:ind w:right="-1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KESATU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2247BF" w:rsidRDefault="00926E0B">
            <w:pPr>
              <w:numPr>
                <w:ilvl w:val="0"/>
                <w:numId w:val="5"/>
              </w:numPr>
              <w:spacing w:after="0" w:line="360" w:lineRule="auto"/>
              <w:ind w:left="404" w:right="-118" w:hanging="37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Naskah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Perjanjian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:rsidR="002247BF" w:rsidRDefault="00926E0B">
            <w:pPr>
              <w:numPr>
                <w:ilvl w:val="0"/>
                <w:numId w:val="5"/>
              </w:numPr>
              <w:spacing w:after="0" w:line="360" w:lineRule="auto"/>
              <w:ind w:left="404" w:right="-118" w:hanging="37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menandatangani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Pakta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Integritas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:rsidR="002247BF" w:rsidRDefault="00926E0B">
            <w:pPr>
              <w:numPr>
                <w:ilvl w:val="0"/>
                <w:numId w:val="5"/>
              </w:numPr>
              <w:spacing w:after="0" w:line="360" w:lineRule="auto"/>
              <w:ind w:left="404" w:right="-118" w:hanging="37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Naskah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Perjanjian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:rsidR="0060188D" w:rsidRPr="00861021" w:rsidRDefault="00926E0B" w:rsidP="0060188D">
            <w:pPr>
              <w:numPr>
                <w:ilvl w:val="0"/>
                <w:numId w:val="5"/>
              </w:numPr>
              <w:spacing w:after="0" w:line="360" w:lineRule="auto"/>
              <w:ind w:left="404" w:right="-118" w:hanging="37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membuat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pertanggung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jawaban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administrasi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penggunaan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dana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sesuai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ketentuan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perundang-undangan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; </w:t>
            </w:r>
            <w:proofErr w:type="spellStart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Pr="00861021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</w:p>
          <w:p w:rsidR="00861021" w:rsidRDefault="00861021" w:rsidP="00861021">
            <w:pPr>
              <w:spacing w:after="0" w:line="360" w:lineRule="auto"/>
              <w:ind w:right="-1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:rsidR="00861021" w:rsidRPr="00861021" w:rsidRDefault="00861021" w:rsidP="00861021">
            <w:pPr>
              <w:spacing w:after="0" w:line="360" w:lineRule="auto"/>
              <w:ind w:right="-1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2247BF" w:rsidRDefault="00926E0B">
            <w:pPr>
              <w:numPr>
                <w:ilvl w:val="0"/>
                <w:numId w:val="5"/>
              </w:numPr>
              <w:spacing w:after="0" w:line="360" w:lineRule="auto"/>
              <w:ind w:left="404" w:right="-118" w:hanging="37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melaporkan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dibiayai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2247BF">
        <w:tc>
          <w:tcPr>
            <w:tcW w:w="1786" w:type="dxa"/>
            <w:gridSpan w:val="2"/>
          </w:tcPr>
          <w:p w:rsidR="002247BF" w:rsidRDefault="00926E0B">
            <w:pPr>
              <w:spacing w:before="120" w:after="0" w:line="360" w:lineRule="auto"/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KEEMPAT</w:t>
            </w:r>
          </w:p>
        </w:tc>
        <w:tc>
          <w:tcPr>
            <w:tcW w:w="293" w:type="dxa"/>
            <w:gridSpan w:val="2"/>
          </w:tcPr>
          <w:p w:rsidR="002247BF" w:rsidRDefault="00926E0B">
            <w:pPr>
              <w:spacing w:before="120" w:after="0" w:line="360" w:lineRule="auto"/>
              <w:ind w:right="-118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2247BF" w:rsidRDefault="00926E0B">
            <w:pPr>
              <w:spacing w:before="120" w:after="0" w:line="360" w:lineRule="auto"/>
              <w:ind w:right="-1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Daerah.</w:t>
            </w:r>
          </w:p>
        </w:tc>
      </w:tr>
      <w:tr w:rsidR="002247BF">
        <w:tc>
          <w:tcPr>
            <w:tcW w:w="1773" w:type="dxa"/>
          </w:tcPr>
          <w:p w:rsidR="002247BF" w:rsidRDefault="00926E0B">
            <w:pPr>
              <w:spacing w:before="120" w:after="0" w:line="360" w:lineRule="auto"/>
              <w:ind w:right="-11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KELIMA</w:t>
            </w:r>
          </w:p>
        </w:tc>
        <w:tc>
          <w:tcPr>
            <w:tcW w:w="293" w:type="dxa"/>
            <w:gridSpan w:val="2"/>
          </w:tcPr>
          <w:p w:rsidR="002247BF" w:rsidRDefault="00926E0B">
            <w:pPr>
              <w:spacing w:before="120" w:after="0" w:line="360" w:lineRule="auto"/>
              <w:ind w:right="-11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573" w:type="dxa"/>
            <w:gridSpan w:val="2"/>
          </w:tcPr>
          <w:p w:rsidR="002247BF" w:rsidRDefault="00926E0B">
            <w:pPr>
              <w:spacing w:before="120" w:after="0" w:line="360" w:lineRule="auto"/>
              <w:ind w:right="-119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:rsidR="002247BF" w:rsidRDefault="002247BF">
            <w:pPr>
              <w:spacing w:after="0" w:line="360" w:lineRule="auto"/>
              <w:ind w:right="-1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         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Ditetapkan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Karanganyar</w:t>
      </w:r>
      <w:proofErr w:type="spellEnd"/>
    </w:p>
    <w:p w:rsidR="002247BF" w:rsidRDefault="00926E0B">
      <w:pPr>
        <w:spacing w:after="0" w:line="240" w:lineRule="auto"/>
        <w:ind w:left="720" w:right="-118" w:firstLine="7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Januari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2022 </w:t>
      </w:r>
    </w:p>
    <w:p w:rsidR="002247BF" w:rsidRDefault="002247BF">
      <w:pPr>
        <w:spacing w:after="0" w:line="240" w:lineRule="auto"/>
        <w:ind w:left="720" w:right="-118" w:firstLine="7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240" w:lineRule="auto"/>
        <w:ind w:left="2160" w:right="-118" w:firstLine="280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BUPATI KARANGANYAR,</w:t>
      </w:r>
    </w:p>
    <w:p w:rsidR="002247BF" w:rsidRDefault="002247BF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240" w:lineRule="auto"/>
        <w:ind w:left="2160" w:right="-118" w:firstLine="280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JULIYATMONO</w:t>
      </w: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1"/>
        <w:tblW w:w="98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8"/>
      </w:tblGrid>
      <w:tr w:rsidR="002247BF">
        <w:tc>
          <w:tcPr>
            <w:tcW w:w="4928" w:type="dxa"/>
          </w:tcPr>
          <w:p w:rsidR="002247BF" w:rsidRDefault="00926E0B">
            <w:pPr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  <w:p w:rsidR="002247BF" w:rsidRDefault="00926E0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Rakyat Daerah;</w:t>
            </w:r>
          </w:p>
          <w:p w:rsidR="002247BF" w:rsidRDefault="00926E0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Daerah;</w:t>
            </w:r>
          </w:p>
          <w:p w:rsidR="002247BF" w:rsidRDefault="00926E0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Kesbangpol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2247BF" w:rsidRDefault="00926E0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Setda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2247BF" w:rsidRDefault="00926E0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3" w:right="-118" w:hanging="28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Tim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8" w:type="dxa"/>
          </w:tcPr>
          <w:p w:rsidR="002247BF" w:rsidRDefault="00224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470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37"/>
              <w:gridCol w:w="1165"/>
            </w:tblGrid>
            <w:tr w:rsidR="002247BF">
              <w:trPr>
                <w:trHeight w:val="454"/>
              </w:trPr>
              <w:tc>
                <w:tcPr>
                  <w:tcW w:w="4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koordinasikan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2247BF">
              <w:trPr>
                <w:trHeight w:val="454"/>
              </w:trPr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Pejabat</w:t>
                  </w:r>
                  <w:proofErr w:type="spellEnd"/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Paraf</w:t>
                  </w:r>
                  <w:proofErr w:type="spellEnd"/>
                </w:p>
              </w:tc>
            </w:tr>
            <w:tr w:rsidR="002247BF">
              <w:trPr>
                <w:trHeight w:val="454"/>
              </w:trPr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926E0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 w:right="-118" w:hanging="284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Kesra</w:t>
                  </w:r>
                  <w:proofErr w:type="spellEnd"/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2247BF">
                  <w:pPr>
                    <w:ind w:right="-118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47BF">
              <w:trPr>
                <w:trHeight w:val="454"/>
              </w:trPr>
              <w:tc>
                <w:tcPr>
                  <w:tcW w:w="3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926E0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 w:right="-118" w:hanging="284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Kesbangpol</w:t>
                  </w:r>
                  <w:proofErr w:type="spellEnd"/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47BF" w:rsidRDefault="002247BF">
                  <w:pPr>
                    <w:ind w:right="-118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47BF" w:rsidRDefault="002247BF">
            <w:pPr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2247BF" w:rsidRDefault="00861021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val="id-ID"/>
        </w:rPr>
        <w:drawing>
          <wp:anchor distT="0" distB="0" distL="114300" distR="114300" simplePos="0" relativeHeight="251659264" behindDoc="0" locked="0" layoutInCell="1" allowOverlap="1" wp14:anchorId="17F5B35E" wp14:editId="47EEDDF6">
            <wp:simplePos x="0" y="0"/>
            <wp:positionH relativeFrom="column">
              <wp:posOffset>3093085</wp:posOffset>
            </wp:positionH>
            <wp:positionV relativeFrom="paragraph">
              <wp:posOffset>132080</wp:posOffset>
            </wp:positionV>
            <wp:extent cx="810895" cy="810895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 w:firstLine="3686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 w:firstLine="3686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Pr="00926E0B" w:rsidRDefault="00926E0B">
      <w:pPr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  <w:sectPr w:rsidR="002247BF" w:rsidRPr="00926E0B">
          <w:pgSz w:w="11907" w:h="18711"/>
          <w:pgMar w:top="1134" w:right="567" w:bottom="1134" w:left="1474" w:header="709" w:footer="709" w:gutter="0"/>
          <w:pgNumType w:start="1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</w:t>
      </w:r>
    </w:p>
    <w:p w:rsidR="002247BF" w:rsidRDefault="00224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2247BF" w:rsidRDefault="00926E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28" w:firstLine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LAMPIRAN</w:t>
      </w:r>
    </w:p>
    <w:p w:rsidR="002247BF" w:rsidRDefault="00926E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34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KEPUTUSAN BUPATI KARANGANYAR</w:t>
      </w:r>
    </w:p>
    <w:p w:rsidR="002247BF" w:rsidRDefault="00926E0B">
      <w:pPr>
        <w:spacing w:after="0"/>
        <w:ind w:left="103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NOMOR   900 /       /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TAHUN  2022</w:t>
      </w:r>
      <w:proofErr w:type="gramEnd"/>
    </w:p>
    <w:p w:rsidR="002247BF" w:rsidRDefault="00926E0B">
      <w:pPr>
        <w:spacing w:after="0"/>
        <w:ind w:left="1034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:rsidR="002247BF" w:rsidRDefault="00926E0B">
      <w:pPr>
        <w:spacing w:after="0" w:line="240" w:lineRule="auto"/>
        <w:ind w:left="10348" w:right="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PENETAPAN  PENERIMA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HIBAH KEPADA KELOMPOK MASYARAKAT TAHUN ANGGARAN 2022</w:t>
      </w:r>
    </w:p>
    <w:p w:rsidR="002247BF" w:rsidRDefault="002247BF">
      <w:pPr>
        <w:spacing w:after="0" w:line="240" w:lineRule="auto"/>
        <w:ind w:left="10348" w:right="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14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DAFTAR PENERIMA HIBAH KEPADA KELOMPOK MASYARAKAT TAHUN ANGGARAN 2022</w:t>
      </w:r>
    </w:p>
    <w:p w:rsidR="002247BF" w:rsidRDefault="002247BF">
      <w:pPr>
        <w:spacing w:after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3"/>
        <w:tblW w:w="174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110"/>
        <w:gridCol w:w="4253"/>
        <w:gridCol w:w="1843"/>
        <w:gridCol w:w="1871"/>
        <w:gridCol w:w="4649"/>
      </w:tblGrid>
      <w:tr w:rsidR="002247BF" w:rsidTr="00704D65">
        <w:trPr>
          <w:trHeight w:val="567"/>
        </w:trPr>
        <w:tc>
          <w:tcPr>
            <w:tcW w:w="709" w:type="dxa"/>
            <w:vAlign w:val="center"/>
          </w:tcPr>
          <w:p w:rsidR="002247BF" w:rsidRDefault="00926E0B">
            <w:pPr>
              <w:spacing w:before="80" w:after="8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NO.</w:t>
            </w:r>
          </w:p>
        </w:tc>
        <w:tc>
          <w:tcPr>
            <w:tcW w:w="4110" w:type="dxa"/>
            <w:vAlign w:val="center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PENERIMA BANTUAN HIBAH APBD KELOMPOK MASYARAKAT</w:t>
            </w:r>
          </w:p>
        </w:tc>
        <w:tc>
          <w:tcPr>
            <w:tcW w:w="4253" w:type="dxa"/>
            <w:vAlign w:val="center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ALAMAT SEKRETARIAT PENERIMA HIBAH</w:t>
            </w:r>
          </w:p>
        </w:tc>
        <w:tc>
          <w:tcPr>
            <w:tcW w:w="1843" w:type="dxa"/>
            <w:vAlign w:val="center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KETUA/  PENGURUS</w:t>
            </w:r>
          </w:p>
        </w:tc>
        <w:tc>
          <w:tcPr>
            <w:tcW w:w="1871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JUMLAH</w:t>
            </w:r>
          </w:p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Rp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DASAR PENDIRIAN  ORGANISASI KEMASYARAKATAN</w:t>
            </w:r>
          </w:p>
        </w:tc>
      </w:tr>
      <w:tr w:rsidR="002247BF" w:rsidTr="00704D65">
        <w:trPr>
          <w:trHeight w:val="422"/>
        </w:trPr>
        <w:tc>
          <w:tcPr>
            <w:tcW w:w="709" w:type="dxa"/>
            <w:vAlign w:val="center"/>
          </w:tcPr>
          <w:p w:rsidR="002247BF" w:rsidRDefault="00926E0B">
            <w:pPr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2247BF" w:rsidRDefault="00926E0B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</w:t>
            </w:r>
          </w:p>
        </w:tc>
      </w:tr>
      <w:tr w:rsidR="002247BF" w:rsidTr="00704D65">
        <w:trPr>
          <w:trHeight w:val="233"/>
        </w:trPr>
        <w:tc>
          <w:tcPr>
            <w:tcW w:w="709" w:type="dxa"/>
          </w:tcPr>
          <w:p w:rsidR="002247BF" w:rsidRDefault="00926E0B">
            <w:pPr>
              <w:spacing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bookmarkStart w:id="1" w:name="_GoBack"/>
            <w:bookmarkEnd w:id="1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Kerukunan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425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Klatak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RT 01/RW 01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184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JUMINO</w:t>
            </w:r>
          </w:p>
        </w:tc>
        <w:tc>
          <w:tcPr>
            <w:tcW w:w="1871" w:type="dxa"/>
          </w:tcPr>
          <w:p w:rsidR="002247BF" w:rsidRDefault="00926E0B">
            <w:pPr>
              <w:jc w:val="right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40.000.000,-</w:t>
            </w:r>
          </w:p>
          <w:p w:rsidR="002247BF" w:rsidRDefault="002247BF">
            <w:pPr>
              <w:spacing w:before="60" w:after="60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649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Pengukuhan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Karangpandan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; 140/145/XI/2020</w:t>
            </w:r>
          </w:p>
        </w:tc>
      </w:tr>
      <w:tr w:rsidR="002247BF" w:rsidTr="00704D65">
        <w:trPr>
          <w:trHeight w:val="567"/>
        </w:trPr>
        <w:tc>
          <w:tcPr>
            <w:tcW w:w="709" w:type="dxa"/>
          </w:tcPr>
          <w:p w:rsidR="002247BF" w:rsidRDefault="00926E0B">
            <w:pPr>
              <w:spacing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Berkarya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Cale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Maju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Berkarya</w:t>
            </w:r>
            <w:proofErr w:type="spellEnd"/>
          </w:p>
        </w:tc>
        <w:tc>
          <w:tcPr>
            <w:tcW w:w="425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Dusun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Ngargoyoso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RT 01 RW 04,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Ngargoyoso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Ngargoyoso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84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KARNO</w:t>
            </w:r>
          </w:p>
        </w:tc>
        <w:tc>
          <w:tcPr>
            <w:tcW w:w="1871" w:type="dxa"/>
          </w:tcPr>
          <w:p w:rsidR="002247BF" w:rsidRDefault="00926E0B">
            <w:pPr>
              <w:spacing w:before="60" w:after="60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20.000.000,-</w:t>
            </w:r>
          </w:p>
        </w:tc>
        <w:tc>
          <w:tcPr>
            <w:tcW w:w="4649" w:type="dxa"/>
          </w:tcPr>
          <w:p w:rsidR="002247BF" w:rsidRDefault="00926E0B">
            <w:pPr>
              <w:spacing w:before="40" w:after="40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Pengukuhan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Ngargoyoso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470/756/IX/2019</w:t>
            </w:r>
          </w:p>
        </w:tc>
      </w:tr>
      <w:tr w:rsidR="002247BF" w:rsidTr="00704D65">
        <w:trPr>
          <w:trHeight w:val="567"/>
        </w:trPr>
        <w:tc>
          <w:tcPr>
            <w:tcW w:w="709" w:type="dxa"/>
          </w:tcPr>
          <w:p w:rsidR="002247BF" w:rsidRDefault="00926E0B">
            <w:pPr>
              <w:spacing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247BF" w:rsidRDefault="00926E0B">
            <w:pPr>
              <w:spacing w:line="3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Ngudal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Bermartabat</w:t>
            </w:r>
            <w:proofErr w:type="spellEnd"/>
          </w:p>
        </w:tc>
        <w:tc>
          <w:tcPr>
            <w:tcW w:w="4253" w:type="dxa"/>
          </w:tcPr>
          <w:p w:rsidR="002247BF" w:rsidRDefault="00926E0B">
            <w:pPr>
              <w:spacing w:line="3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Dusun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Ngudal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RT 09 RW 10,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Nglebak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Tawangmangu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843" w:type="dxa"/>
          </w:tcPr>
          <w:p w:rsidR="002247BF" w:rsidRDefault="00926E0B">
            <w:pPr>
              <w:spacing w:line="3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WARSINO</w:t>
            </w:r>
          </w:p>
        </w:tc>
        <w:tc>
          <w:tcPr>
            <w:tcW w:w="1871" w:type="dxa"/>
          </w:tcPr>
          <w:p w:rsidR="002247BF" w:rsidRDefault="00926E0B">
            <w:pPr>
              <w:spacing w:line="340" w:lineRule="auto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50.000.000,-</w:t>
            </w:r>
          </w:p>
        </w:tc>
        <w:tc>
          <w:tcPr>
            <w:tcW w:w="4649" w:type="dxa"/>
          </w:tcPr>
          <w:p w:rsidR="002247BF" w:rsidRDefault="00926E0B">
            <w:pPr>
              <w:spacing w:line="3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Pengukuhan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Nglebak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 900/2/1/2015</w:t>
            </w:r>
          </w:p>
        </w:tc>
      </w:tr>
      <w:tr w:rsidR="002247BF" w:rsidTr="00704D65">
        <w:trPr>
          <w:trHeight w:val="567"/>
        </w:trPr>
        <w:tc>
          <w:tcPr>
            <w:tcW w:w="709" w:type="dxa"/>
          </w:tcPr>
          <w:p w:rsidR="002247BF" w:rsidRDefault="00926E0B">
            <w:pPr>
              <w:spacing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Ngudi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Katentreman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“Tunas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Manunggal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”</w:t>
            </w:r>
          </w:p>
        </w:tc>
        <w:tc>
          <w:tcPr>
            <w:tcW w:w="425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Nglegok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RW 11,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Dusun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Ngudal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Nglebak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Tawangmangu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843" w:type="dxa"/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WARDIYONO</w:t>
            </w:r>
          </w:p>
        </w:tc>
        <w:tc>
          <w:tcPr>
            <w:tcW w:w="1871" w:type="dxa"/>
          </w:tcPr>
          <w:p w:rsidR="002247BF" w:rsidRDefault="00926E0B">
            <w:pPr>
              <w:spacing w:before="60" w:after="60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50.000.000,-</w:t>
            </w:r>
          </w:p>
        </w:tc>
        <w:tc>
          <w:tcPr>
            <w:tcW w:w="4649" w:type="dxa"/>
          </w:tcPr>
          <w:p w:rsidR="002247BF" w:rsidRDefault="00926E0B" w:rsidP="00704D65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Pengukuhan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Nglebak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 900/3/1/2015</w:t>
            </w:r>
          </w:p>
        </w:tc>
      </w:tr>
      <w:tr w:rsidR="002247BF" w:rsidTr="00704D65">
        <w:trPr>
          <w:trHeight w:val="567"/>
        </w:trPr>
        <w:tc>
          <w:tcPr>
            <w:tcW w:w="709" w:type="dxa"/>
          </w:tcPr>
          <w:p w:rsidR="002247BF" w:rsidRDefault="00926E0B">
            <w:pPr>
              <w:spacing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2247BF" w:rsidRDefault="00926E0B">
            <w:pPr>
              <w:spacing w:before="60" w:after="6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247BF" w:rsidRDefault="00926E0B">
            <w:pPr>
              <w:spacing w:before="60" w:after="6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247BF" w:rsidRDefault="00926E0B">
            <w:pPr>
              <w:spacing w:before="60" w:after="6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2247BF" w:rsidRDefault="00926E0B">
            <w:pPr>
              <w:spacing w:before="60" w:after="6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2247BF" w:rsidRDefault="00926E0B">
            <w:pPr>
              <w:spacing w:before="60" w:after="6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</w:t>
            </w:r>
          </w:p>
        </w:tc>
      </w:tr>
      <w:tr w:rsidR="002247BF" w:rsidTr="00704D65">
        <w:trPr>
          <w:trHeight w:val="622"/>
        </w:trPr>
        <w:tc>
          <w:tcPr>
            <w:tcW w:w="709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40" w:after="4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Tresno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Rukun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Manunggal</w:t>
            </w:r>
            <w:proofErr w:type="spellEnd"/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Dusun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Dukuh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Gondangmanis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SUGIYATNO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60" w:after="60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50.000.000,-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</w:tcPr>
          <w:p w:rsidR="002247BF" w:rsidRDefault="00926E0B">
            <w:pPr>
              <w:spacing w:before="60" w:after="6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Pengesahan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Gondangmanis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 520/15/II/2019</w:t>
            </w:r>
          </w:p>
        </w:tc>
      </w:tr>
      <w:tr w:rsidR="002247BF" w:rsidTr="00704D65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40" w:after="40" w:line="34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60" w:after="60" w:line="3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Kelompok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Tresno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Rukun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Manunggal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60" w:after="60" w:line="3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Dusun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Sabrang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RT 04 RW 07,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Nglegok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Ngargoyoso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60" w:after="60" w:line="3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KIRMADI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60" w:after="60" w:line="340" w:lineRule="auto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25.000.000,-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spacing w:before="60" w:after="60" w:line="34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Pengukuhan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Nglegok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 470/25/IX/2019</w:t>
            </w:r>
          </w:p>
        </w:tc>
      </w:tr>
      <w:tr w:rsidR="002247BF" w:rsidTr="00704D65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2247BF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F" w:rsidRDefault="00926E0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F" w:rsidRDefault="002247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BF" w:rsidRDefault="002247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926E0B">
            <w:pPr>
              <w:jc w:val="right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235.000.000,-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BF" w:rsidRDefault="002247BF">
            <w:pPr>
              <w:jc w:val="both"/>
              <w:rPr>
                <w:sz w:val="24"/>
                <w:szCs w:val="24"/>
              </w:rPr>
            </w:pPr>
          </w:p>
        </w:tc>
      </w:tr>
    </w:tbl>
    <w:p w:rsidR="002247BF" w:rsidRDefault="002247BF">
      <w:pPr>
        <w:spacing w:after="0" w:line="3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340" w:lineRule="auto"/>
        <w:ind w:left="2880" w:right="-118" w:firstLine="860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BUPATI KARANGANYAR,</w:t>
      </w:r>
    </w:p>
    <w:p w:rsidR="002247BF" w:rsidRDefault="002247BF">
      <w:pPr>
        <w:spacing w:after="0" w:line="240" w:lineRule="auto"/>
        <w:ind w:right="-118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926E0B">
      <w:pPr>
        <w:spacing w:after="0" w:line="240" w:lineRule="auto"/>
        <w:ind w:left="9438" w:right="-118" w:firstLine="280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JULIYATMONO</w:t>
      </w:r>
    </w:p>
    <w:p w:rsidR="002247BF" w:rsidRDefault="002247BF">
      <w:pPr>
        <w:spacing w:after="0" w:line="240" w:lineRule="auto"/>
        <w:ind w:right="-118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4"/>
        <w:tblW w:w="10158" w:type="dxa"/>
        <w:tblInd w:w="68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230"/>
      </w:tblGrid>
      <w:tr w:rsidR="002247BF">
        <w:tc>
          <w:tcPr>
            <w:tcW w:w="4928" w:type="dxa"/>
          </w:tcPr>
          <w:p w:rsidR="002247BF" w:rsidRDefault="00861021">
            <w:pPr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noProof/>
                <w:sz w:val="24"/>
                <w:szCs w:val="24"/>
                <w:lang w:val="id-ID"/>
              </w:rPr>
              <w:drawing>
                <wp:anchor distT="0" distB="0" distL="114300" distR="114300" simplePos="0" relativeHeight="251658240" behindDoc="0" locked="0" layoutInCell="1" allowOverlap="1" wp14:anchorId="4D7F00DD" wp14:editId="1C510A7C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192405</wp:posOffset>
                  </wp:positionV>
                  <wp:extent cx="812800" cy="812800"/>
                  <wp:effectExtent l="0" t="0" r="6350" b="635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0" w:type="dxa"/>
          </w:tcPr>
          <w:p w:rsidR="002247BF" w:rsidRDefault="00224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tbl>
            <w:tblPr>
              <w:tblStyle w:val="a5"/>
              <w:tblW w:w="50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20"/>
              <w:gridCol w:w="1384"/>
            </w:tblGrid>
            <w:tr w:rsidR="002247BF">
              <w:trPr>
                <w:trHeight w:val="454"/>
              </w:trPr>
              <w:tc>
                <w:tcPr>
                  <w:tcW w:w="5004" w:type="dxa"/>
                  <w:gridSpan w:val="2"/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koordinasikan</w:t>
                  </w:r>
                  <w:proofErr w:type="spellEnd"/>
                </w:p>
              </w:tc>
            </w:tr>
            <w:tr w:rsidR="002247BF">
              <w:trPr>
                <w:trHeight w:val="454"/>
              </w:trPr>
              <w:tc>
                <w:tcPr>
                  <w:tcW w:w="3620" w:type="dxa"/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Pejabat</w:t>
                  </w:r>
                  <w:proofErr w:type="spellEnd"/>
                </w:p>
              </w:tc>
              <w:tc>
                <w:tcPr>
                  <w:tcW w:w="1384" w:type="dxa"/>
                  <w:vAlign w:val="center"/>
                </w:tcPr>
                <w:p w:rsidR="002247BF" w:rsidRDefault="00926E0B">
                  <w:pPr>
                    <w:ind w:right="-118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Paraf</w:t>
                  </w:r>
                  <w:proofErr w:type="spellEnd"/>
                </w:p>
              </w:tc>
            </w:tr>
            <w:tr w:rsidR="002247BF">
              <w:trPr>
                <w:trHeight w:val="454"/>
              </w:trPr>
              <w:tc>
                <w:tcPr>
                  <w:tcW w:w="3620" w:type="dxa"/>
                  <w:vAlign w:val="center"/>
                </w:tcPr>
                <w:p w:rsidR="002247BF" w:rsidRDefault="00926E0B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92" w:right="-118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Kesra</w:t>
                  </w:r>
                  <w:proofErr w:type="spellEnd"/>
                </w:p>
              </w:tc>
              <w:tc>
                <w:tcPr>
                  <w:tcW w:w="1384" w:type="dxa"/>
                  <w:vAlign w:val="center"/>
                </w:tcPr>
                <w:p w:rsidR="002247BF" w:rsidRDefault="002247BF">
                  <w:pPr>
                    <w:ind w:right="-118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47BF">
              <w:trPr>
                <w:trHeight w:val="454"/>
              </w:trPr>
              <w:tc>
                <w:tcPr>
                  <w:tcW w:w="3620" w:type="dxa"/>
                  <w:vAlign w:val="center"/>
                </w:tcPr>
                <w:p w:rsidR="002247BF" w:rsidRDefault="00926E0B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317" w:right="-118" w:hanging="284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  <w:t>Kesbangpol</w:t>
                  </w:r>
                  <w:proofErr w:type="spellEnd"/>
                </w:p>
              </w:tc>
              <w:tc>
                <w:tcPr>
                  <w:tcW w:w="1384" w:type="dxa"/>
                  <w:vAlign w:val="center"/>
                </w:tcPr>
                <w:p w:rsidR="002247BF" w:rsidRDefault="002247BF">
                  <w:pPr>
                    <w:ind w:right="-118"/>
                    <w:rPr>
                      <w:rFonts w:ascii="Bookman Old Style" w:eastAsia="Bookman Old Style" w:hAnsi="Bookman Old Style" w:cs="Bookman Old Style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47BF" w:rsidRDefault="002247BF">
            <w:pPr>
              <w:ind w:right="-11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2247BF" w:rsidRDefault="002247BF">
      <w:pPr>
        <w:tabs>
          <w:tab w:val="left" w:pos="1976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tabs>
          <w:tab w:val="left" w:pos="1976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2247BF" w:rsidRDefault="002247BF">
      <w:pPr>
        <w:tabs>
          <w:tab w:val="left" w:pos="1976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2247BF">
      <w:pgSz w:w="18711" w:h="11907" w:orient="landscape"/>
      <w:pgMar w:top="993" w:right="432" w:bottom="864" w:left="288" w:header="562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6FB"/>
    <w:multiLevelType w:val="multilevel"/>
    <w:tmpl w:val="B22CD3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907"/>
    <w:multiLevelType w:val="multilevel"/>
    <w:tmpl w:val="4418C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22A8"/>
    <w:multiLevelType w:val="multilevel"/>
    <w:tmpl w:val="5D68BB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F2930"/>
    <w:multiLevelType w:val="multilevel"/>
    <w:tmpl w:val="82846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161CB"/>
    <w:multiLevelType w:val="multilevel"/>
    <w:tmpl w:val="C8EC9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4391"/>
    <w:multiLevelType w:val="multilevel"/>
    <w:tmpl w:val="C29A1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76D84"/>
    <w:multiLevelType w:val="multilevel"/>
    <w:tmpl w:val="BDAC1712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47BF"/>
    <w:rsid w:val="00157F1A"/>
    <w:rsid w:val="002247BF"/>
    <w:rsid w:val="00241E3D"/>
    <w:rsid w:val="00244EFE"/>
    <w:rsid w:val="005D37B6"/>
    <w:rsid w:val="0060188D"/>
    <w:rsid w:val="00704D65"/>
    <w:rsid w:val="00813F2B"/>
    <w:rsid w:val="00861021"/>
    <w:rsid w:val="00926E0B"/>
    <w:rsid w:val="00BF2CBB"/>
    <w:rsid w:val="00C3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2022-03-24T07:57:00Z</cp:lastPrinted>
  <dcterms:created xsi:type="dcterms:W3CDTF">2022-03-24T04:53:00Z</dcterms:created>
  <dcterms:modified xsi:type="dcterms:W3CDTF">2022-03-24T08:06:00Z</dcterms:modified>
</cp:coreProperties>
</file>