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E3" w:rsidRPr="002E024D" w:rsidRDefault="00DB27E3" w:rsidP="001E0899">
      <w:pPr>
        <w:pStyle w:val="NormalWeb"/>
        <w:shd w:val="clear" w:color="auto" w:fill="FFFFFF"/>
        <w:spacing w:before="0" w:beforeAutospacing="0" w:after="0" w:afterAutospacing="0" w:line="360" w:lineRule="auto"/>
        <w:jc w:val="both"/>
        <w:textAlignment w:val="baseline"/>
        <w:rPr>
          <w:rFonts w:ascii="Arial" w:hAnsi="Arial" w:cs="Arial"/>
          <w:b/>
        </w:rPr>
      </w:pPr>
      <w:r>
        <w:rPr>
          <w:rFonts w:ascii="Arial" w:hAnsi="Arial" w:cs="Arial"/>
          <w:b/>
          <w:color w:val="000000" w:themeColor="text1"/>
        </w:rPr>
        <w:t>KEBERLANJUTAN (20%)</w:t>
      </w:r>
    </w:p>
    <w:p w:rsidR="00FB095E" w:rsidRPr="002E024D" w:rsidRDefault="005E4CC5" w:rsidP="001E0899">
      <w:pPr>
        <w:pStyle w:val="NormalWeb"/>
        <w:shd w:val="clear" w:color="auto" w:fill="FFFFFF"/>
        <w:spacing w:before="0" w:beforeAutospacing="0" w:after="0" w:afterAutospacing="0" w:line="360" w:lineRule="auto"/>
        <w:jc w:val="both"/>
        <w:textAlignment w:val="baseline"/>
        <w:rPr>
          <w:rFonts w:ascii="Arial" w:hAnsi="Arial" w:cs="Arial"/>
        </w:rPr>
      </w:pPr>
      <w:r w:rsidRPr="002E024D">
        <w:rPr>
          <w:rFonts w:ascii="Arial" w:hAnsi="Arial" w:cs="Arial"/>
        </w:rPr>
        <w:t>Secara khusus Forgimala belum memiliki anggaran karena merupakan binaan FKUB.</w:t>
      </w:r>
      <w:r w:rsidR="002E024D">
        <w:rPr>
          <w:rFonts w:ascii="Arial" w:hAnsi="Arial" w:cs="Arial"/>
        </w:rPr>
        <w:t xml:space="preserve"> </w:t>
      </w:r>
      <w:r w:rsidR="00FB095E">
        <w:rPr>
          <w:rFonts w:ascii="Arial" w:hAnsi="Arial" w:cs="Arial"/>
          <w:color w:val="000000" w:themeColor="text1"/>
        </w:rPr>
        <w:t>Sumber daya manusia meliputi ide/gagasan Bupati Karanganyar, ASN Badan Kesatuan Bangsa dan Politik, FKUB, Kemenag, dan berbagai kelompok masyarakat. Jumlah SDM yang terkibat sekitar 50 orang. Metode yang digunakan adalah kolaborasi yang terintegrasi dari semua wilayah di Kabupaten Karanganyar. Adapun material menggunakan aset yang dimiliki oleh Pemerintah Daerah.</w:t>
      </w:r>
    </w:p>
    <w:p w:rsidR="00FB095E" w:rsidRDefault="00FB095E"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 xml:space="preserve">Langkah-langkah strategi yang digunakan adalah kolaborasi dan sinergi. Semua komponen steakholder Forgimala baik dari unsur pemerintah maupun masyarakat yang terintegrasi, terkontrol, dan terukur. Keterlibatan dan pemberdayaan unsur-unsur masyarakat dalam pencegahan </w:t>
      </w:r>
      <w:r w:rsidR="00F54E1A">
        <w:rPr>
          <w:rFonts w:ascii="Arial" w:hAnsi="Arial" w:cs="Arial"/>
          <w:color w:val="000000" w:themeColor="text1"/>
        </w:rPr>
        <w:t xml:space="preserve">konflik toleransi beragama, pengoptimalan sumber daya manusia, dan kreatifitas </w:t>
      </w:r>
      <w:r w:rsidR="00FB5424">
        <w:rPr>
          <w:rFonts w:ascii="Arial" w:hAnsi="Arial" w:cs="Arial"/>
          <w:color w:val="000000" w:themeColor="text1"/>
        </w:rPr>
        <w:t>dalam menumbuhkan toleransi beragama. Semua unsur pelaksana bekerja secara hirarkis sesuai tupoksinya masing-masing dan disinergikan satu komando dari pimpinan.</w:t>
      </w:r>
    </w:p>
    <w:p w:rsidR="00FB5424" w:rsidRDefault="00FB5424"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Tiga strategi terpenting untuk menjaga keberlanjutan inovasi :</w:t>
      </w:r>
    </w:p>
    <w:p w:rsidR="00AE6BEF" w:rsidRDefault="00EC67F5" w:rsidP="001E0899">
      <w:pPr>
        <w:pStyle w:val="NormalWeb"/>
        <w:numPr>
          <w:ilvl w:val="0"/>
          <w:numId w:val="6"/>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Strategi institusional</w:t>
      </w:r>
      <w:r w:rsidR="00BB71C1">
        <w:rPr>
          <w:rFonts w:ascii="Arial" w:hAnsi="Arial" w:cs="Arial"/>
          <w:color w:val="000000" w:themeColor="text1"/>
        </w:rPr>
        <w:t xml:space="preserve"> berupa kebijakan dan regulasi pencegahan konflik agama, komitmen anggaran, dan komitmen unsur pimpinan Daerah.</w:t>
      </w:r>
    </w:p>
    <w:p w:rsidR="00BB71C1" w:rsidRDefault="00BB71C1" w:rsidP="001E0899">
      <w:pPr>
        <w:pStyle w:val="NormalWeb"/>
        <w:numPr>
          <w:ilvl w:val="0"/>
          <w:numId w:val="6"/>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Strategi sosial dilakukan dengan mengoptimalkan keterlibatan masyarakat dalam pencegahan konflik agama. Keterlibatan dilakukan dimulai dari generasi muda</w:t>
      </w:r>
      <w:r w:rsidR="008C5F4B">
        <w:rPr>
          <w:rFonts w:ascii="Arial" w:hAnsi="Arial" w:cs="Arial"/>
          <w:color w:val="000000" w:themeColor="text1"/>
        </w:rPr>
        <w:t xml:space="preserve"> dan masyarakat dalam pencegahan konflik agama. Peran masyarakat untuk terus bertoleransi</w:t>
      </w:r>
      <w:r w:rsidR="00F21826">
        <w:rPr>
          <w:rFonts w:ascii="Arial" w:hAnsi="Arial" w:cs="Arial"/>
          <w:color w:val="000000" w:themeColor="text1"/>
        </w:rPr>
        <w:t xml:space="preserve"> agama dengan orang lain memberikan kontribusi yang luar biasa</w:t>
      </w:r>
      <w:r w:rsidR="008C5F4B">
        <w:rPr>
          <w:rFonts w:ascii="Arial" w:hAnsi="Arial" w:cs="Arial"/>
          <w:color w:val="000000" w:themeColor="text1"/>
        </w:rPr>
        <w:t>. ini penting karena akar permasalahan konflik agama berasal dari kesadaran masyarakat terhadap toleransi agama.</w:t>
      </w:r>
    </w:p>
    <w:p w:rsidR="00F21826" w:rsidRDefault="00F21826" w:rsidP="001E0899">
      <w:pPr>
        <w:pStyle w:val="NormalWeb"/>
        <w:numPr>
          <w:ilvl w:val="0"/>
          <w:numId w:val="6"/>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Strategi manajerial dilakukan dengan memastikan seluruh kegiatan kerukunan umat beragama berjalan optimal. Memastikan semua masyarakat hidup dengan baik tanpa terjadi konflik. Peningkatan kapasitas SDM Forgimala dan FKUB ditingkatkan dengan mengikuti berbagai diklat, yang diteruskan kepada masyarakat dengan diadakannya sosialisasi atau kemah kerukunan.</w:t>
      </w:r>
    </w:p>
    <w:p w:rsidR="00F21826" w:rsidRDefault="00F21826"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Faktor kekuatan penentu keberhasilan inovasi Forgimala adalah :</w:t>
      </w:r>
    </w:p>
    <w:p w:rsidR="00F21826" w:rsidRDefault="00F21826" w:rsidP="001E0899">
      <w:pPr>
        <w:pStyle w:val="NormalWeb"/>
        <w:numPr>
          <w:ilvl w:val="0"/>
          <w:numId w:val="7"/>
        </w:numPr>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Faktor Internal</w:t>
      </w:r>
    </w:p>
    <w:p w:rsidR="00D8614D" w:rsidRDefault="00D8614D" w:rsidP="001E0899">
      <w:pPr>
        <w:pStyle w:val="ListParagraph"/>
        <w:numPr>
          <w:ilvl w:val="0"/>
          <w:numId w:val="8"/>
        </w:numPr>
        <w:spacing w:after="0" w:line="360" w:lineRule="auto"/>
        <w:ind w:left="993" w:hanging="284"/>
        <w:jc w:val="both"/>
        <w:rPr>
          <w:rFonts w:ascii="Arial" w:eastAsia="Arial" w:hAnsi="Arial"/>
          <w:sz w:val="24"/>
          <w:szCs w:val="24"/>
        </w:rPr>
      </w:pPr>
      <w:r w:rsidRPr="00D8614D">
        <w:rPr>
          <w:rFonts w:ascii="Arial" w:eastAsia="Arial" w:hAnsi="Arial"/>
          <w:i/>
          <w:sz w:val="24"/>
          <w:szCs w:val="24"/>
        </w:rPr>
        <w:t>Project</w:t>
      </w:r>
      <w:r w:rsidRPr="00D8614D">
        <w:rPr>
          <w:rFonts w:ascii="Times New Roman" w:eastAsia="Times New Roman" w:hAnsi="Times New Roman"/>
          <w:sz w:val="24"/>
          <w:szCs w:val="24"/>
        </w:rPr>
        <w:t xml:space="preserve"> </w:t>
      </w:r>
      <w:r w:rsidRPr="00D8614D">
        <w:rPr>
          <w:rFonts w:ascii="Arial" w:eastAsia="Arial" w:hAnsi="Arial"/>
          <w:i/>
          <w:sz w:val="24"/>
          <w:szCs w:val="24"/>
        </w:rPr>
        <w:t>manager(leadership)</w:t>
      </w:r>
      <w:r w:rsidRPr="00D8614D">
        <w:rPr>
          <w:rFonts w:ascii="Arial" w:eastAsia="Arial" w:hAnsi="Arial"/>
          <w:sz w:val="24"/>
          <w:szCs w:val="24"/>
        </w:rPr>
        <w:t xml:space="preserve">. Komitmen Bupati selaku penggagas dan </w:t>
      </w:r>
      <w:r w:rsidRPr="00D8614D">
        <w:rPr>
          <w:rFonts w:ascii="Arial" w:eastAsia="Arial" w:hAnsi="Arial"/>
          <w:i/>
          <w:sz w:val="24"/>
          <w:szCs w:val="24"/>
        </w:rPr>
        <w:t>Innovative leadership,</w:t>
      </w:r>
      <w:r w:rsidRPr="00D8614D">
        <w:rPr>
          <w:rFonts w:ascii="Arial" w:eastAsia="Arial" w:hAnsi="Arial"/>
          <w:sz w:val="24"/>
          <w:szCs w:val="24"/>
        </w:rPr>
        <w:t xml:space="preserve"> sangat menentukan keberhasilan inovasi. Inovasi dapat dibreakdown dan dikelola melalui Sekda dan pasti didukung oleh semua Kepala Perangkat Daera</w:t>
      </w:r>
      <w:r>
        <w:rPr>
          <w:rFonts w:ascii="Arial" w:eastAsia="Arial" w:hAnsi="Arial"/>
          <w:sz w:val="24"/>
          <w:szCs w:val="24"/>
        </w:rPr>
        <w:t>h yang berkaitan dengan inovasi.</w:t>
      </w:r>
      <w:bookmarkStart w:id="0" w:name="page10"/>
      <w:bookmarkEnd w:id="0"/>
    </w:p>
    <w:p w:rsidR="00D8614D" w:rsidRDefault="00D8614D" w:rsidP="001E0899">
      <w:pPr>
        <w:pStyle w:val="ListParagraph"/>
        <w:numPr>
          <w:ilvl w:val="0"/>
          <w:numId w:val="8"/>
        </w:numPr>
        <w:spacing w:after="0" w:line="360" w:lineRule="auto"/>
        <w:ind w:left="993" w:hanging="284"/>
        <w:jc w:val="both"/>
        <w:rPr>
          <w:rFonts w:ascii="Arial" w:eastAsia="Arial" w:hAnsi="Arial"/>
          <w:sz w:val="24"/>
          <w:szCs w:val="24"/>
        </w:rPr>
      </w:pPr>
      <w:r>
        <w:rPr>
          <w:rFonts w:ascii="Arial" w:eastAsia="Arial" w:hAnsi="Arial"/>
          <w:i/>
          <w:sz w:val="24"/>
          <w:szCs w:val="24"/>
        </w:rPr>
        <w:t>Te</w:t>
      </w:r>
      <w:r w:rsidRPr="00D8614D">
        <w:rPr>
          <w:rFonts w:ascii="Arial" w:eastAsia="Arial" w:hAnsi="Arial"/>
          <w:i/>
          <w:sz w:val="24"/>
          <w:szCs w:val="24"/>
        </w:rPr>
        <w:t>am Work</w:t>
      </w:r>
      <w:r w:rsidRPr="00D8614D">
        <w:rPr>
          <w:rFonts w:ascii="Arial" w:eastAsia="Arial" w:hAnsi="Arial"/>
          <w:sz w:val="24"/>
          <w:szCs w:val="24"/>
        </w:rPr>
        <w:t>. Partisipasi semua Perangkat Daerah. Kerjasama dan kolaborasi semua komponen Perangkat Daerah yang kondusif (</w:t>
      </w:r>
      <w:r w:rsidRPr="00D8614D">
        <w:rPr>
          <w:rFonts w:ascii="Arial" w:eastAsia="Arial" w:hAnsi="Arial"/>
          <w:i/>
          <w:sz w:val="24"/>
          <w:szCs w:val="24"/>
        </w:rPr>
        <w:t>no sectoral egos</w:t>
      </w:r>
      <w:r w:rsidRPr="00D8614D">
        <w:rPr>
          <w:rFonts w:ascii="Arial" w:eastAsia="Arial" w:hAnsi="Arial"/>
          <w:sz w:val="24"/>
          <w:szCs w:val="24"/>
        </w:rPr>
        <w:t>). Terbukti dengan adanya Tim yang terdiri dari berbagai unsur Perangkat Daerah.</w:t>
      </w:r>
    </w:p>
    <w:p w:rsidR="00D8614D" w:rsidRDefault="00D8614D" w:rsidP="001E0899">
      <w:pPr>
        <w:pStyle w:val="ListParagraph"/>
        <w:numPr>
          <w:ilvl w:val="0"/>
          <w:numId w:val="8"/>
        </w:numPr>
        <w:spacing w:after="0" w:line="360" w:lineRule="auto"/>
        <w:ind w:left="993" w:hanging="284"/>
        <w:jc w:val="both"/>
        <w:rPr>
          <w:rFonts w:ascii="Arial" w:eastAsia="Arial" w:hAnsi="Arial"/>
          <w:i/>
          <w:sz w:val="24"/>
          <w:szCs w:val="24"/>
        </w:rPr>
      </w:pPr>
      <w:r w:rsidRPr="00D8614D">
        <w:rPr>
          <w:rFonts w:ascii="Arial" w:eastAsia="Arial" w:hAnsi="Arial"/>
          <w:i/>
          <w:sz w:val="24"/>
          <w:szCs w:val="24"/>
        </w:rPr>
        <w:lastRenderedPageBreak/>
        <w:t>Project(</w:t>
      </w:r>
      <w:r w:rsidRPr="00D8614D">
        <w:rPr>
          <w:rFonts w:ascii="Arial" w:eastAsia="Arial" w:hAnsi="Arial"/>
          <w:sz w:val="24"/>
          <w:szCs w:val="24"/>
        </w:rPr>
        <w:t>kegiatan). Dukungan sumber daya dari semua Perangkat Daerah dan masyarakat</w:t>
      </w:r>
    </w:p>
    <w:p w:rsidR="005D1842" w:rsidRPr="00B90DAE" w:rsidRDefault="00D8614D" w:rsidP="00B90DAE">
      <w:pPr>
        <w:pStyle w:val="ListParagraph"/>
        <w:numPr>
          <w:ilvl w:val="0"/>
          <w:numId w:val="8"/>
        </w:numPr>
        <w:spacing w:after="0" w:line="360" w:lineRule="auto"/>
        <w:ind w:left="993" w:hanging="284"/>
        <w:jc w:val="both"/>
        <w:rPr>
          <w:rFonts w:ascii="Arial" w:eastAsia="Arial" w:hAnsi="Arial"/>
          <w:sz w:val="24"/>
          <w:szCs w:val="24"/>
          <w:lang w:val="id-ID"/>
        </w:rPr>
      </w:pPr>
      <w:r w:rsidRPr="00D8614D">
        <w:rPr>
          <w:rFonts w:ascii="Arial" w:eastAsia="Arial" w:hAnsi="Arial"/>
          <w:i/>
          <w:sz w:val="24"/>
          <w:szCs w:val="24"/>
        </w:rPr>
        <w:t>Organization</w:t>
      </w:r>
      <w:r w:rsidRPr="00D8614D">
        <w:rPr>
          <w:rFonts w:ascii="Arial" w:eastAsia="Arial" w:hAnsi="Arial"/>
          <w:sz w:val="24"/>
          <w:szCs w:val="24"/>
        </w:rPr>
        <w:t>(kegiatan).</w:t>
      </w:r>
    </w:p>
    <w:p w:rsidR="005D1842" w:rsidRPr="00D8614D" w:rsidRDefault="005D1842" w:rsidP="005D1842">
      <w:pPr>
        <w:pStyle w:val="ListParagraph"/>
        <w:spacing w:after="0" w:line="360" w:lineRule="auto"/>
        <w:ind w:left="993"/>
        <w:jc w:val="both"/>
        <w:rPr>
          <w:rFonts w:ascii="Arial" w:eastAsia="Arial" w:hAnsi="Arial"/>
          <w:sz w:val="24"/>
          <w:szCs w:val="24"/>
        </w:rPr>
      </w:pPr>
    </w:p>
    <w:p w:rsidR="00F21826" w:rsidRDefault="00F21826" w:rsidP="001E0899">
      <w:pPr>
        <w:pStyle w:val="NormalWeb"/>
        <w:numPr>
          <w:ilvl w:val="0"/>
          <w:numId w:val="7"/>
        </w:numPr>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Faktor Eksternal</w:t>
      </w:r>
    </w:p>
    <w:p w:rsidR="00D8614D" w:rsidRPr="00D8614D" w:rsidRDefault="00D8614D" w:rsidP="001E0899">
      <w:pPr>
        <w:pStyle w:val="ListParagraph"/>
        <w:numPr>
          <w:ilvl w:val="0"/>
          <w:numId w:val="9"/>
        </w:numPr>
        <w:spacing w:after="0" w:line="360" w:lineRule="auto"/>
        <w:ind w:left="993" w:hanging="284"/>
        <w:jc w:val="both"/>
        <w:rPr>
          <w:rFonts w:ascii="Arial" w:eastAsia="Arial" w:hAnsi="Arial"/>
          <w:sz w:val="24"/>
          <w:szCs w:val="24"/>
        </w:rPr>
      </w:pPr>
      <w:r w:rsidRPr="00D8614D">
        <w:rPr>
          <w:rFonts w:ascii="Arial" w:eastAsia="Arial" w:hAnsi="Arial"/>
          <w:sz w:val="24"/>
          <w:szCs w:val="24"/>
        </w:rPr>
        <w:t>Dukungan dan komitmen dari Gubernur dan Pemerintah Pusat dalam bentuk Anggaran yang te</w:t>
      </w:r>
      <w:r w:rsidR="00413BFB">
        <w:rPr>
          <w:rFonts w:ascii="Arial" w:eastAsia="Arial" w:hAnsi="Arial"/>
          <w:sz w:val="24"/>
          <w:szCs w:val="24"/>
        </w:rPr>
        <w:t>realisasi dalam berbagai bentuk</w:t>
      </w:r>
    </w:p>
    <w:p w:rsidR="00D8614D" w:rsidRDefault="00413BFB" w:rsidP="001E0899">
      <w:pPr>
        <w:pStyle w:val="ListParagraph"/>
        <w:numPr>
          <w:ilvl w:val="0"/>
          <w:numId w:val="9"/>
        </w:numPr>
        <w:spacing w:after="0" w:line="360" w:lineRule="auto"/>
        <w:ind w:left="993" w:hanging="284"/>
        <w:jc w:val="both"/>
        <w:rPr>
          <w:rFonts w:ascii="Arial" w:eastAsia="Arial" w:hAnsi="Arial"/>
          <w:sz w:val="24"/>
          <w:szCs w:val="24"/>
        </w:rPr>
      </w:pPr>
      <w:r>
        <w:rPr>
          <w:rFonts w:ascii="Arial" w:eastAsia="Arial" w:hAnsi="Arial"/>
          <w:sz w:val="24"/>
          <w:szCs w:val="24"/>
        </w:rPr>
        <w:t xml:space="preserve">Karanganyar </w:t>
      </w:r>
      <w:r w:rsidR="00D8614D" w:rsidRPr="00D8614D">
        <w:rPr>
          <w:rFonts w:ascii="Arial" w:eastAsia="Arial" w:hAnsi="Arial"/>
          <w:sz w:val="24"/>
          <w:szCs w:val="24"/>
        </w:rPr>
        <w:t>yang aman tentram. Cablaka/</w:t>
      </w:r>
      <w:r w:rsidR="00621CFC">
        <w:rPr>
          <w:rFonts w:ascii="Arial" w:eastAsia="Arial" w:hAnsi="Arial"/>
          <w:sz w:val="24"/>
          <w:szCs w:val="24"/>
        </w:rPr>
        <w:t xml:space="preserve"> </w:t>
      </w:r>
      <w:r w:rsidR="00D8614D" w:rsidRPr="00D8614D">
        <w:rPr>
          <w:rFonts w:ascii="Arial" w:eastAsia="Arial" w:hAnsi="Arial"/>
          <w:sz w:val="24"/>
          <w:szCs w:val="24"/>
        </w:rPr>
        <w:t>egaliter mudah bekerjasama/</w:t>
      </w:r>
      <w:r w:rsidR="00621CFC">
        <w:rPr>
          <w:rFonts w:ascii="Arial" w:eastAsia="Arial" w:hAnsi="Arial"/>
          <w:sz w:val="24"/>
          <w:szCs w:val="24"/>
        </w:rPr>
        <w:t xml:space="preserve"> </w:t>
      </w:r>
      <w:r w:rsidR="00D8614D" w:rsidRPr="00D8614D">
        <w:rPr>
          <w:rFonts w:ascii="Arial" w:eastAsia="Arial" w:hAnsi="Arial"/>
          <w:sz w:val="24"/>
          <w:szCs w:val="24"/>
        </w:rPr>
        <w:t>gotong-royong.</w:t>
      </w:r>
      <w:bookmarkStart w:id="1" w:name="_GoBack"/>
      <w:bookmarkEnd w:id="1"/>
    </w:p>
    <w:sectPr w:rsidR="00D8614D" w:rsidSect="00C50D52">
      <w:pgSz w:w="12242" w:h="18711"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91" w:rsidRDefault="00C97991" w:rsidP="00D8614D">
      <w:pPr>
        <w:spacing w:after="0" w:line="240" w:lineRule="auto"/>
      </w:pPr>
      <w:r>
        <w:separator/>
      </w:r>
    </w:p>
  </w:endnote>
  <w:endnote w:type="continuationSeparator" w:id="0">
    <w:p w:rsidR="00C97991" w:rsidRDefault="00C97991" w:rsidP="00D8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91" w:rsidRDefault="00C97991" w:rsidP="00D8614D">
      <w:pPr>
        <w:spacing w:after="0" w:line="240" w:lineRule="auto"/>
      </w:pPr>
      <w:r>
        <w:separator/>
      </w:r>
    </w:p>
  </w:footnote>
  <w:footnote w:type="continuationSeparator" w:id="0">
    <w:p w:rsidR="00C97991" w:rsidRDefault="00C97991" w:rsidP="00D8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515F007C"/>
    <w:lvl w:ilvl="0" w:tplc="FFFFFFFF">
      <w:start w:val="35"/>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5BD062C2"/>
    <w:lvl w:ilvl="0" w:tplc="FFFFFFFF">
      <w:start w:val="6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10807A6"/>
    <w:multiLevelType w:val="hybridMultilevel"/>
    <w:tmpl w:val="4A1EC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1B4BF7"/>
    <w:multiLevelType w:val="hybridMultilevel"/>
    <w:tmpl w:val="BA003B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C62554"/>
    <w:multiLevelType w:val="hybridMultilevel"/>
    <w:tmpl w:val="5F9C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052691"/>
    <w:multiLevelType w:val="hybridMultilevel"/>
    <w:tmpl w:val="BB8457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A62B05"/>
    <w:multiLevelType w:val="hybridMultilevel"/>
    <w:tmpl w:val="A7DC3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F5453B"/>
    <w:multiLevelType w:val="multilevel"/>
    <w:tmpl w:val="1734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3856BB"/>
    <w:multiLevelType w:val="hybridMultilevel"/>
    <w:tmpl w:val="24C61A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63E33F90"/>
    <w:multiLevelType w:val="hybridMultilevel"/>
    <w:tmpl w:val="DC180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D9125D"/>
    <w:multiLevelType w:val="hybridMultilevel"/>
    <w:tmpl w:val="3DB80C5E"/>
    <w:lvl w:ilvl="0" w:tplc="74F41118">
      <w:start w:val="1"/>
      <w:numFmt w:val="upperRoman"/>
      <w:lvlText w:val="%1."/>
      <w:lvlJc w:val="left"/>
      <w:pPr>
        <w:ind w:left="730" w:hanging="72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1">
    <w:nsid w:val="7CD13433"/>
    <w:multiLevelType w:val="hybridMultilevel"/>
    <w:tmpl w:val="83105F1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6"/>
  </w:num>
  <w:num w:numId="4">
    <w:abstractNumId w:val="9"/>
  </w:num>
  <w:num w:numId="5">
    <w:abstractNumId w:val="3"/>
  </w:num>
  <w:num w:numId="6">
    <w:abstractNumId w:val="5"/>
  </w:num>
  <w:num w:numId="7">
    <w:abstractNumId w:val="2"/>
  </w:num>
  <w:num w:numId="8">
    <w:abstractNumId w:val="11"/>
  </w:num>
  <w:num w:numId="9">
    <w:abstractNumId w:val="8"/>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3B"/>
    <w:rsid w:val="00077AE7"/>
    <w:rsid w:val="00081498"/>
    <w:rsid w:val="00101BBE"/>
    <w:rsid w:val="00107F81"/>
    <w:rsid w:val="001856C7"/>
    <w:rsid w:val="001C052E"/>
    <w:rsid w:val="001E0899"/>
    <w:rsid w:val="00242173"/>
    <w:rsid w:val="00294228"/>
    <w:rsid w:val="002C0075"/>
    <w:rsid w:val="002D7E75"/>
    <w:rsid w:val="002E024D"/>
    <w:rsid w:val="002E2268"/>
    <w:rsid w:val="002E5D7B"/>
    <w:rsid w:val="00300CAD"/>
    <w:rsid w:val="00310ADF"/>
    <w:rsid w:val="003367F0"/>
    <w:rsid w:val="00366241"/>
    <w:rsid w:val="00372079"/>
    <w:rsid w:val="003A41BA"/>
    <w:rsid w:val="003B5312"/>
    <w:rsid w:val="00413BFB"/>
    <w:rsid w:val="004643D9"/>
    <w:rsid w:val="0048553B"/>
    <w:rsid w:val="004D119A"/>
    <w:rsid w:val="004E40C8"/>
    <w:rsid w:val="00513BD8"/>
    <w:rsid w:val="00581F7C"/>
    <w:rsid w:val="005A3D16"/>
    <w:rsid w:val="005D0778"/>
    <w:rsid w:val="005D1842"/>
    <w:rsid w:val="005E4CC5"/>
    <w:rsid w:val="005F60F7"/>
    <w:rsid w:val="00607930"/>
    <w:rsid w:val="006102AA"/>
    <w:rsid w:val="00621CFC"/>
    <w:rsid w:val="00626354"/>
    <w:rsid w:val="0063257F"/>
    <w:rsid w:val="00635FF4"/>
    <w:rsid w:val="00690ABC"/>
    <w:rsid w:val="006B2E8D"/>
    <w:rsid w:val="006E0F26"/>
    <w:rsid w:val="00706052"/>
    <w:rsid w:val="00786275"/>
    <w:rsid w:val="007C5BB6"/>
    <w:rsid w:val="007C5DB2"/>
    <w:rsid w:val="007D33DF"/>
    <w:rsid w:val="007F1F1B"/>
    <w:rsid w:val="007F4AAC"/>
    <w:rsid w:val="008B1AB9"/>
    <w:rsid w:val="008C5F4B"/>
    <w:rsid w:val="00905DE6"/>
    <w:rsid w:val="0098158D"/>
    <w:rsid w:val="009A44C4"/>
    <w:rsid w:val="009B0419"/>
    <w:rsid w:val="009B5365"/>
    <w:rsid w:val="009E0A67"/>
    <w:rsid w:val="00A10639"/>
    <w:rsid w:val="00A414C7"/>
    <w:rsid w:val="00A73978"/>
    <w:rsid w:val="00A744FB"/>
    <w:rsid w:val="00A92E57"/>
    <w:rsid w:val="00AC6763"/>
    <w:rsid w:val="00AE6BEF"/>
    <w:rsid w:val="00B03B03"/>
    <w:rsid w:val="00B50E50"/>
    <w:rsid w:val="00B73D0E"/>
    <w:rsid w:val="00B771A2"/>
    <w:rsid w:val="00B860D0"/>
    <w:rsid w:val="00B90DAE"/>
    <w:rsid w:val="00BA5ED2"/>
    <w:rsid w:val="00BB71C1"/>
    <w:rsid w:val="00BC3932"/>
    <w:rsid w:val="00BD4EEF"/>
    <w:rsid w:val="00C13BBF"/>
    <w:rsid w:val="00C32B93"/>
    <w:rsid w:val="00C50D52"/>
    <w:rsid w:val="00C85076"/>
    <w:rsid w:val="00C86378"/>
    <w:rsid w:val="00C97991"/>
    <w:rsid w:val="00CF2235"/>
    <w:rsid w:val="00CF399B"/>
    <w:rsid w:val="00D06CCA"/>
    <w:rsid w:val="00D145DC"/>
    <w:rsid w:val="00D420D8"/>
    <w:rsid w:val="00D46212"/>
    <w:rsid w:val="00D8614D"/>
    <w:rsid w:val="00DA04CF"/>
    <w:rsid w:val="00DB27E3"/>
    <w:rsid w:val="00DB6E82"/>
    <w:rsid w:val="00DC1B07"/>
    <w:rsid w:val="00E16C81"/>
    <w:rsid w:val="00E26796"/>
    <w:rsid w:val="00E928A7"/>
    <w:rsid w:val="00EA2BD6"/>
    <w:rsid w:val="00EC67F5"/>
    <w:rsid w:val="00EE2284"/>
    <w:rsid w:val="00EE3FC4"/>
    <w:rsid w:val="00EF4EAC"/>
    <w:rsid w:val="00F21826"/>
    <w:rsid w:val="00F54E1A"/>
    <w:rsid w:val="00F71A14"/>
    <w:rsid w:val="00F75915"/>
    <w:rsid w:val="00FB095E"/>
    <w:rsid w:val="00FB54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53B"/>
    <w:rPr>
      <w:color w:val="0000FF"/>
      <w:u w:val="single"/>
    </w:rPr>
  </w:style>
  <w:style w:type="paragraph" w:styleId="NormalWeb">
    <w:name w:val="Normal (Web)"/>
    <w:basedOn w:val="Normal"/>
    <w:uiPriority w:val="99"/>
    <w:unhideWhenUsed/>
    <w:rsid w:val="00C50D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D8614D"/>
    <w:pPr>
      <w:ind w:left="720"/>
      <w:contextualSpacing/>
    </w:pPr>
  </w:style>
  <w:style w:type="paragraph" w:styleId="BalloonText">
    <w:name w:val="Balloon Text"/>
    <w:basedOn w:val="Normal"/>
    <w:link w:val="BalloonTextChar"/>
    <w:uiPriority w:val="99"/>
    <w:semiHidden/>
    <w:unhideWhenUsed/>
    <w:rsid w:val="00D8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D"/>
    <w:rPr>
      <w:rFonts w:ascii="Tahoma" w:hAnsi="Tahoma" w:cs="Tahoma"/>
      <w:sz w:val="16"/>
      <w:szCs w:val="16"/>
    </w:rPr>
  </w:style>
  <w:style w:type="paragraph" w:styleId="Header">
    <w:name w:val="header"/>
    <w:basedOn w:val="Normal"/>
    <w:link w:val="HeaderChar"/>
    <w:uiPriority w:val="99"/>
    <w:semiHidden/>
    <w:unhideWhenUsed/>
    <w:rsid w:val="00D861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14D"/>
  </w:style>
  <w:style w:type="paragraph" w:styleId="Footer">
    <w:name w:val="footer"/>
    <w:basedOn w:val="Normal"/>
    <w:link w:val="FooterChar"/>
    <w:uiPriority w:val="99"/>
    <w:semiHidden/>
    <w:unhideWhenUsed/>
    <w:rsid w:val="00D861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614D"/>
  </w:style>
  <w:style w:type="table" w:styleId="TableGrid">
    <w:name w:val="Table Grid"/>
    <w:basedOn w:val="TableNormal"/>
    <w:uiPriority w:val="59"/>
    <w:rsid w:val="00F7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53B"/>
    <w:rPr>
      <w:color w:val="0000FF"/>
      <w:u w:val="single"/>
    </w:rPr>
  </w:style>
  <w:style w:type="paragraph" w:styleId="NormalWeb">
    <w:name w:val="Normal (Web)"/>
    <w:basedOn w:val="Normal"/>
    <w:uiPriority w:val="99"/>
    <w:unhideWhenUsed/>
    <w:rsid w:val="00C50D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D8614D"/>
    <w:pPr>
      <w:ind w:left="720"/>
      <w:contextualSpacing/>
    </w:pPr>
  </w:style>
  <w:style w:type="paragraph" w:styleId="BalloonText">
    <w:name w:val="Balloon Text"/>
    <w:basedOn w:val="Normal"/>
    <w:link w:val="BalloonTextChar"/>
    <w:uiPriority w:val="99"/>
    <w:semiHidden/>
    <w:unhideWhenUsed/>
    <w:rsid w:val="00D8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D"/>
    <w:rPr>
      <w:rFonts w:ascii="Tahoma" w:hAnsi="Tahoma" w:cs="Tahoma"/>
      <w:sz w:val="16"/>
      <w:szCs w:val="16"/>
    </w:rPr>
  </w:style>
  <w:style w:type="paragraph" w:styleId="Header">
    <w:name w:val="header"/>
    <w:basedOn w:val="Normal"/>
    <w:link w:val="HeaderChar"/>
    <w:uiPriority w:val="99"/>
    <w:semiHidden/>
    <w:unhideWhenUsed/>
    <w:rsid w:val="00D861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14D"/>
  </w:style>
  <w:style w:type="paragraph" w:styleId="Footer">
    <w:name w:val="footer"/>
    <w:basedOn w:val="Normal"/>
    <w:link w:val="FooterChar"/>
    <w:uiPriority w:val="99"/>
    <w:semiHidden/>
    <w:unhideWhenUsed/>
    <w:rsid w:val="00D861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614D"/>
  </w:style>
  <w:style w:type="table" w:styleId="TableGrid">
    <w:name w:val="Table Grid"/>
    <w:basedOn w:val="TableNormal"/>
    <w:uiPriority w:val="59"/>
    <w:rsid w:val="00F7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9106">
      <w:bodyDiv w:val="1"/>
      <w:marLeft w:val="0"/>
      <w:marRight w:val="0"/>
      <w:marTop w:val="0"/>
      <w:marBottom w:val="0"/>
      <w:divBdr>
        <w:top w:val="none" w:sz="0" w:space="0" w:color="auto"/>
        <w:left w:val="none" w:sz="0" w:space="0" w:color="auto"/>
        <w:bottom w:val="none" w:sz="0" w:space="0" w:color="auto"/>
        <w:right w:val="none" w:sz="0" w:space="0" w:color="auto"/>
      </w:divBdr>
    </w:div>
    <w:div w:id="1188062634">
      <w:bodyDiv w:val="1"/>
      <w:marLeft w:val="0"/>
      <w:marRight w:val="0"/>
      <w:marTop w:val="0"/>
      <w:marBottom w:val="0"/>
      <w:divBdr>
        <w:top w:val="none" w:sz="0" w:space="0" w:color="auto"/>
        <w:left w:val="none" w:sz="0" w:space="0" w:color="auto"/>
        <w:bottom w:val="none" w:sz="0" w:space="0" w:color="auto"/>
        <w:right w:val="none" w:sz="0" w:space="0" w:color="auto"/>
      </w:divBdr>
    </w:div>
    <w:div w:id="197460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458E0-153B-4B15-A13C-B6314169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2022-08-12T02:38:00Z</cp:lastPrinted>
  <dcterms:created xsi:type="dcterms:W3CDTF">2022-10-07T04:25:00Z</dcterms:created>
  <dcterms:modified xsi:type="dcterms:W3CDTF">2022-10-07T04:25:00Z</dcterms:modified>
</cp:coreProperties>
</file>