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4134DE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ED5D26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ED5D2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ED5D2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4134D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4134D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ED5D26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1451CA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4134DE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4134D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4134D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4134DE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ED5D26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ED5D2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4914C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ED5D2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47C2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Girilayu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ED5D26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4914C2">
        <w:rPr>
          <w:rFonts w:ascii="Bookman Old Style" w:hAnsi="Bookman Old Style" w:cs="Arial"/>
          <w:sz w:val="24"/>
          <w:szCs w:val="24"/>
        </w:rPr>
        <w:t>se</w:t>
      </w:r>
      <w:r w:rsidR="00ED5D26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4914C2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492A8C" wp14:editId="4CF2290E">
                <wp:simplePos x="0" y="0"/>
                <wp:positionH relativeFrom="column">
                  <wp:posOffset>3395980</wp:posOffset>
                </wp:positionH>
                <wp:positionV relativeFrom="paragraph">
                  <wp:posOffset>156210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4914C2" w:rsidRPr="00BF1508" w:rsidRDefault="004914C2" w:rsidP="004914C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4914C2" w:rsidRPr="006C1CC2" w:rsidRDefault="004914C2" w:rsidP="004914C2"/>
                          <w:p w:rsidR="004914C2" w:rsidRPr="006C1CC2" w:rsidRDefault="004914C2" w:rsidP="004914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4pt;margin-top:12.3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" stroked="f">
                <v:textbox>
                  <w:txbxContent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4914C2" w:rsidRPr="00BF1508" w:rsidRDefault="004914C2" w:rsidP="004914C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4914C2" w:rsidRPr="006C1CC2" w:rsidRDefault="004914C2" w:rsidP="004914C2"/>
                    <w:p w:rsidR="004914C2" w:rsidRPr="006C1CC2" w:rsidRDefault="004914C2" w:rsidP="004914C2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39120DF" wp14:editId="41A6D9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46055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4914C2">
        <w:rPr>
          <w:rFonts w:ascii="Bookman Old Style" w:hAnsi="Bookman Old Style" w:cs="Arial"/>
          <w:bCs/>
          <w:sz w:val="24"/>
          <w:szCs w:val="24"/>
        </w:rPr>
        <w:t>SE</w:t>
      </w:r>
      <w:r w:rsidR="00ED5D26">
        <w:rPr>
          <w:rFonts w:ascii="Bookman Old Style" w:hAnsi="Bookman Old Style" w:cs="Arial"/>
          <w:bCs/>
          <w:sz w:val="24"/>
          <w:szCs w:val="24"/>
        </w:rPr>
        <w:t>BELAS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ED5D26">
        <w:rPr>
          <w:rFonts w:ascii="Bookman Old Style" w:hAnsi="Bookman Old Style" w:cs="Arial"/>
          <w:sz w:val="24"/>
          <w:szCs w:val="24"/>
        </w:rPr>
        <w:t>719</w:t>
      </w:r>
      <w:r w:rsidR="001451CA">
        <w:rPr>
          <w:rFonts w:ascii="Bookman Old Style" w:hAnsi="Bookman Old Style" w:cs="Arial"/>
          <w:sz w:val="24"/>
          <w:szCs w:val="24"/>
        </w:rPr>
        <w:t>/</w:t>
      </w:r>
      <w:r w:rsidR="004134DE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134DE">
        <w:rPr>
          <w:rFonts w:ascii="Bookman Old Style" w:hAnsi="Bookman Old Style" w:cs="Arial"/>
          <w:sz w:val="24"/>
          <w:szCs w:val="24"/>
        </w:rPr>
        <w:t>se</w:t>
      </w:r>
      <w:r w:rsidR="00ED5D26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4914C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774AB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9774A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134DE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9774A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D5D26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914C2" w:rsidRPr="000B3024" w:rsidTr="00A25F56">
        <w:tc>
          <w:tcPr>
            <w:tcW w:w="567" w:type="dxa"/>
          </w:tcPr>
          <w:p w:rsidR="004914C2" w:rsidRPr="000B3024" w:rsidRDefault="004914C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914C2" w:rsidRPr="000B3024" w:rsidRDefault="004914C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914C2" w:rsidRPr="000B3024" w:rsidRDefault="004914C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914C2" w:rsidRPr="000B3024" w:rsidRDefault="004914C2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4914C2" w:rsidRPr="000B3024" w:rsidTr="00A25F56">
        <w:tc>
          <w:tcPr>
            <w:tcW w:w="567" w:type="dxa"/>
          </w:tcPr>
          <w:p w:rsidR="004914C2" w:rsidRPr="000B3024" w:rsidRDefault="004914C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14C2" w:rsidRPr="000B3024" w:rsidRDefault="004914C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914C2" w:rsidRPr="000B3024" w:rsidRDefault="004914C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914C2" w:rsidRPr="000B3024" w:rsidRDefault="004914C2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D5D26">
        <w:rPr>
          <w:rFonts w:ascii="Bookman Old Style" w:hAnsi="Bookman Old Style" w:cs="Arial"/>
          <w:sz w:val="24"/>
          <w:szCs w:val="24"/>
        </w:rPr>
        <w:t>sebela</w:t>
      </w:r>
      <w:r w:rsidR="00ED5D26">
        <w:rPr>
          <w:rFonts w:ascii="Bookman Old Style" w:hAnsi="Bookman Old Style" w:cs="Arial"/>
          <w:sz w:val="24"/>
          <w:szCs w:val="24"/>
        </w:rPr>
        <w:t>s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4134DE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ED5D26">
              <w:rPr>
                <w:rFonts w:ascii="Bookman Old Style" w:hAnsi="Bookman Old Style" w:cs="Arial"/>
                <w:sz w:val="24"/>
                <w:szCs w:val="24"/>
              </w:rPr>
              <w:t>sebela</w:t>
            </w:r>
            <w:r w:rsidR="00ED5D26">
              <w:rPr>
                <w:rFonts w:ascii="Bookman Old Style" w:hAnsi="Bookman Old Style" w:cs="Arial"/>
                <w:sz w:val="24"/>
                <w:szCs w:val="24"/>
              </w:rPr>
              <w:t>s</w:t>
            </w:r>
            <w:proofErr w:type="spellEnd"/>
            <w:r w:rsidR="004134D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4134DE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ED5D26">
              <w:rPr>
                <w:rFonts w:ascii="Bookman Old Style" w:hAnsi="Bookman Old Style" w:cs="Arial"/>
                <w:sz w:val="24"/>
                <w:szCs w:val="24"/>
              </w:rPr>
              <w:t>sebela</w:t>
            </w:r>
            <w:r w:rsidR="00ED5D26">
              <w:rPr>
                <w:rFonts w:ascii="Bookman Old Style" w:hAnsi="Bookman Old Style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bookmarkStart w:id="0" w:name="_GoBack"/>
      <w:bookmarkEnd w:id="0"/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46055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4914C2">
        <w:rPr>
          <w:rFonts w:ascii="Bookman Old Style" w:hAnsi="Bookman Old Style" w:cs="Arial"/>
          <w:lang w:val="en-US"/>
        </w:rPr>
        <w:t>WARDOYO, SH, MM</w:t>
      </w:r>
      <w:r w:rsidR="004914C2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1451CA"/>
    <w:rsid w:val="002964CD"/>
    <w:rsid w:val="00300280"/>
    <w:rsid w:val="003E16EC"/>
    <w:rsid w:val="004134DE"/>
    <w:rsid w:val="0046055D"/>
    <w:rsid w:val="004914C2"/>
    <w:rsid w:val="004D38A7"/>
    <w:rsid w:val="00562AD4"/>
    <w:rsid w:val="0061286A"/>
    <w:rsid w:val="006242DD"/>
    <w:rsid w:val="00647C23"/>
    <w:rsid w:val="00673ABD"/>
    <w:rsid w:val="00723ED3"/>
    <w:rsid w:val="007478FC"/>
    <w:rsid w:val="00777453"/>
    <w:rsid w:val="008B2CDE"/>
    <w:rsid w:val="008C5F90"/>
    <w:rsid w:val="009774AB"/>
    <w:rsid w:val="009B7B1A"/>
    <w:rsid w:val="009C6F8E"/>
    <w:rsid w:val="009D5CCB"/>
    <w:rsid w:val="00AA1151"/>
    <w:rsid w:val="00BF1508"/>
    <w:rsid w:val="00CC0A42"/>
    <w:rsid w:val="00D71ABA"/>
    <w:rsid w:val="00DA7356"/>
    <w:rsid w:val="00DD3076"/>
    <w:rsid w:val="00E8276C"/>
    <w:rsid w:val="00ED5D2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2022-10-04T14:45:00Z</cp:lastPrinted>
  <dcterms:created xsi:type="dcterms:W3CDTF">2022-02-03T17:18:00Z</dcterms:created>
  <dcterms:modified xsi:type="dcterms:W3CDTF">2022-10-04T14:46:00Z</dcterms:modified>
</cp:coreProperties>
</file>